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sz w:val="22"/>
        </w:rPr>
        <w:t>Charte du laboratoire « Forme et croissance du crâne »</w:t>
      </w:r>
    </w:p>
    <w:p>
      <w:r>
        <w:rPr>
          <w:i/>
          <w:sz w:val="22"/>
        </w:rPr>
        <w:t>Institut Imagine · Université Paris Cité · AP-HP – Hôpital Necker-Enfants Malades</w:t>
      </w:r>
    </w:p>
    <w:p>
      <w:pPr>
        <w:pStyle w:val="Heading2"/>
      </w:pPr>
      <w:r>
        <w:rPr>
          <w:sz w:val="22"/>
        </w:rPr>
        <w:t>1. Esprit de la charte</w:t>
      </w:r>
    </w:p>
    <w:p>
      <w:r>
        <w:rPr>
          <w:b w:val="0"/>
          <w:i w:val="0"/>
          <w:sz w:val="22"/>
        </w:rPr>
        <w:t>Notre laboratoire travaille sur des données issues du soin d'enfants et de familles. Cette matière première est une responsabilité avant d'être une ressource. La présente charte fixe les règles communes de conduite : protection des données, restitution des résultats, usage des financements, gestion de la bibliographie, publications et communication. Elle vaut pour tous et en toutes circonstances ; en cas de doute, on s'adresse au responsable du laboratoire avant d'agir.</w:t>
      </w:r>
    </w:p>
    <w:p>
      <w:r>
        <w:rPr>
          <w:b w:val="0"/>
          <w:i w:val="0"/>
          <w:sz w:val="22"/>
        </w:rPr>
        <w:t>Cette charte est présentée à tous les membres du laboratoire — nouveaux comme anciens — et signée par chacun : par les nouveaux membres à leur arrivée, et par les membres déjà en poste de façon rétrospective.</w:t>
      </w:r>
    </w:p>
    <w:p>
      <w:pPr>
        <w:pStyle w:val="Heading2"/>
      </w:pPr>
      <w:r>
        <w:rPr>
          <w:sz w:val="22"/>
        </w:rPr>
        <w:t>2. Données cliniques et bonne conduite</w:t>
      </w:r>
    </w:p>
    <w:p>
      <w:r>
        <w:rPr>
          <w:b w:val="0"/>
          <w:i w:val="0"/>
          <w:sz w:val="22"/>
        </w:rPr>
        <w:t>Les données cliniques (dossiers, imagerie, photographies, mesures) ne quittent jamais le cadre pour lequel elles ont été recueillies. Trois principes :</w:t>
      </w:r>
    </w:p>
    <w:p>
      <w:pPr>
        <w:pStyle w:val="ListBullet"/>
      </w:pPr>
      <w:r>
        <w:rPr>
          <w:b/>
          <w:i w:val="0"/>
          <w:sz w:val="22"/>
        </w:rPr>
        <w:t>Minimisation :</w:t>
      </w:r>
      <w:r>
        <w:rPr>
          <w:b w:val="0"/>
          <w:i w:val="0"/>
          <w:sz w:val="22"/>
        </w:rPr>
        <w:t xml:space="preserve"> on ne collecte et n'utilise que les données strictement nécessaires à l'objectif de l'étude.</w:t>
      </w:r>
    </w:p>
    <w:p>
      <w:pPr>
        <w:pStyle w:val="ListBullet"/>
      </w:pPr>
      <w:r>
        <w:rPr>
          <w:b/>
          <w:i w:val="0"/>
          <w:sz w:val="22"/>
        </w:rPr>
        <w:t>Pseudonymisation à la source :</w:t>
      </w:r>
      <w:r>
        <w:rPr>
          <w:b w:val="0"/>
          <w:i w:val="0"/>
          <w:sz w:val="22"/>
        </w:rPr>
        <w:t xml:space="preserve"> toute donnée est dissociée de l'identité du patient dès l'extraction ; aucun nom, aucune initiale identifiante, aucune date de naissance complète ne circule dans les fichiers de travail, les présentations ou les publications.</w:t>
      </w:r>
    </w:p>
    <w:p>
      <w:pPr>
        <w:pStyle w:val="ListBullet"/>
      </w:pPr>
      <w:r>
        <w:rPr>
          <w:b/>
          <w:i w:val="0"/>
          <w:sz w:val="22"/>
        </w:rPr>
        <w:t>Traçabilité :</w:t>
      </w:r>
      <w:r>
        <w:rPr>
          <w:b w:val="0"/>
          <w:i w:val="0"/>
          <w:sz w:val="22"/>
        </w:rPr>
        <w:t xml:space="preserve"> chaque étude est déclarée, rattachée à une base de référence méthodologique et à un responsable identifié avant tout recueil.</w:t>
      </w:r>
    </w:p>
    <w:p>
      <w:r>
        <w:rPr>
          <w:b w:val="0"/>
          <w:i w:val="0"/>
          <w:sz w:val="22"/>
        </w:rPr>
        <w:t>Les photographies de visage sont des données particulièrement identifiantes : elles font l'objet d'une vigilance renforcée (stockage sécurisé, floutage pour toute diffusion, consentement spécifique à l'image).</w:t>
      </w:r>
    </w:p>
    <w:p>
      <w:pPr>
        <w:pStyle w:val="Heading2"/>
      </w:pPr>
      <w:r>
        <w:rPr>
          <w:sz w:val="22"/>
        </w:rPr>
        <w:t>🔒 Stockage, extraction, anonymisation et déclaration des données</w:t>
      </w:r>
    </w:p>
    <w:p>
      <w:pPr>
        <w:pStyle w:val="ListBullet"/>
      </w:pPr>
      <w:r>
        <w:rPr>
          <w:b/>
          <w:i w:val="0"/>
          <w:sz w:val="22"/>
        </w:rPr>
        <w:t>Stockage (NAS de l'AP-HP).</w:t>
      </w:r>
      <w:r>
        <w:rPr>
          <w:b w:val="0"/>
          <w:i w:val="0"/>
          <w:sz w:val="22"/>
        </w:rPr>
        <w:t xml:space="preserve"> Les données cliniques identifiantes sont stockées sur le NAS de l'AP-HP, accessibles uniquement aux médecins. Elles ne sont jamais conservées sur un disque personnel, une clé USB, un ordinateur portable non chiffré, ni un service de cloud grand public (Google Drive, Dropbox, etc.).</w:t>
      </w:r>
    </w:p>
    <w:p>
      <w:pPr>
        <w:pStyle w:val="ListBullet"/>
      </w:pPr>
      <w:r>
        <w:rPr>
          <w:b/>
          <w:i w:val="0"/>
          <w:sz w:val="22"/>
        </w:rPr>
        <w:t>Extraction et téléchargement.</w:t>
      </w:r>
      <w:r>
        <w:rPr>
          <w:b w:val="0"/>
          <w:i w:val="0"/>
          <w:sz w:val="22"/>
        </w:rPr>
        <w:t xml:space="preserve"> Ces données cliniques ne peuvent être extraites du NAS que dans le cadre d'études rétrospectives de type MR-004, sous forme anonymisée, pour être utilisées sur les ordinateurs de recherche du laboratoire. Le téléchargement se fait depuis le PACS de l'hôpital, avec vérification systématique de la cohérence entre le patient et l'examen avant sauvegarde. Les échanges inter-centres passent par des dépôts sécurisés et des données anonymisées, encadrés par un accord de partage de données.</w:t>
      </w:r>
    </w:p>
    <w:p>
      <w:pPr>
        <w:pStyle w:val="ListBullet"/>
      </w:pPr>
      <w:r>
        <w:rPr>
          <w:b/>
          <w:i w:val="0"/>
          <w:sz w:val="22"/>
        </w:rPr>
        <w:t>Anonymisation.</w:t>
      </w:r>
      <w:r>
        <w:rPr>
          <w:b w:val="0"/>
          <w:i w:val="0"/>
          <w:sz w:val="22"/>
        </w:rPr>
        <w:t xml:space="preserve"> Chaque examen est anonymisé dès son export (via MRIcron pour les IRM, DICOM Anonymizer pour les scanners) et nommé selon la clé d'anonymisation du laboratoire (IPP-FCC), qui rend le patient non identifiable en dehors des membres du laboratoire. La méthode de conversion elle-même n'est jamais divulguée.</w:t>
      </w:r>
    </w:p>
    <w:p>
      <w:pPr>
        <w:pStyle w:val="ListBullet"/>
      </w:pPr>
      <w:r>
        <w:rPr>
          <w:b/>
          <w:i w:val="0"/>
          <w:sz w:val="22"/>
        </w:rPr>
        <w:t>Rangement et archivage.</w:t>
      </w:r>
      <w:r>
        <w:rPr>
          <w:b w:val="0"/>
          <w:i w:val="0"/>
          <w:sz w:val="22"/>
        </w:rPr>
        <w:t xml:space="preserve"> Les données téléchargées et anonymisées sont rangées sur le NAS, structuré par maladies puis par type d'imagerie. Dans les fichiers partagés, l'identifiant d'origine (IPP) et l'identifiant anonymisé (IPP-FCC) figurent toujours dans deux colonnes distinctes ; pour tout fichier sortant du laboratoire, seul l'IPP-FCC est conservé.</w:t>
      </w:r>
    </w:p>
    <w:p>
      <w:pPr>
        <w:pStyle w:val="ListBullet"/>
      </w:pPr>
      <w:r>
        <w:rPr>
          <w:b/>
          <w:i w:val="0"/>
          <w:sz w:val="22"/>
        </w:rPr>
        <w:t>MR-004.</w:t>
      </w:r>
      <w:r>
        <w:rPr>
          <w:b w:val="0"/>
          <w:i w:val="0"/>
          <w:sz w:val="22"/>
        </w:rPr>
        <w:t xml:space="preserve"> La méthodologie de référence MR-004 de la CNIL encadre les recherches n'impliquant pas la personne humaine (études rétrospectives, réutilisation de données de soin). Elle impose : une étude inscrite au registre des traitements, une information des patients et familles avec possibilité de non-opposition, une finalité clairement définie et le respect des durées de conservation. Toute étude sortant de ce cadre (recherche prospective, essai, recueil de données nouvelles) relève d'un autre régime (CPP, consentement dédié).</w:t>
      </w:r>
    </w:p>
    <w:p>
      <w:pPr>
        <w:pStyle w:val="ListBullet"/>
      </w:pPr>
      <w:r>
        <w:rPr>
          <w:b/>
          <w:i w:val="0"/>
          <w:sz w:val="22"/>
        </w:rPr>
        <w:t>Déclaration obligatoire.</w:t>
      </w:r>
      <w:r>
        <w:rPr>
          <w:b w:val="0"/>
          <w:i w:val="0"/>
          <w:sz w:val="22"/>
        </w:rPr>
        <w:t xml:space="preserve"> Toute étude rétrospective portant sur des données acquises dans le cadre du soin doit être déclarée au Délégué à la Protection des Données (DPO) de l'AP-HP, Philippe Tourenne, avant tout démarrage.</w:t>
      </w:r>
    </w:p>
    <w:p>
      <w:r>
        <w:rPr>
          <w:b w:val="0"/>
          <w:i w:val="0"/>
          <w:sz w:val="22"/>
        </w:rPr>
        <w:t>Chaque membre du laboratoire manipulant des données médicales s'engage individuellement à ne jamais divulguer les codes d'accès aux dossiers patients ni la méthode d'anonymisation, à ne stocker aucune donnée non anonymisée sur du matériel informatique personnel, et à ne conserver aucune donnée médicale au-delà de la fin de son engagement au laboratoire.</w:t>
      </w:r>
    </w:p>
    <w:p>
      <w:pPr>
        <w:pStyle w:val="Heading2"/>
      </w:pPr>
      <w:r>
        <w:rPr>
          <w:sz w:val="22"/>
        </w:rPr>
        <w:t>3. Restitution et transmission des résultats</w:t>
      </w:r>
    </w:p>
    <w:p>
      <w:r>
        <w:rPr>
          <w:b w:val="0"/>
          <w:i w:val="0"/>
          <w:sz w:val="22"/>
        </w:rPr>
        <w:t>La restitution fait partie de la recherche, elle n'en est pas l'accessoire.</w:t>
      </w:r>
    </w:p>
    <w:p>
      <w:pPr>
        <w:pStyle w:val="ListBullet"/>
      </w:pPr>
      <w:r>
        <w:rPr>
          <w:b w:val="0"/>
          <w:i w:val="0"/>
          <w:sz w:val="22"/>
        </w:rPr>
        <w:t>Les résultats sont d'abord partagés en interne (réunions de laboratoire) avant toute diffusion externe.</w:t>
      </w:r>
    </w:p>
    <w:p>
      <w:pPr>
        <w:pStyle w:val="ListBullet"/>
      </w:pPr>
      <w:r>
        <w:rPr>
          <w:b w:val="0"/>
          <w:i w:val="0"/>
          <w:sz w:val="22"/>
        </w:rPr>
        <w:t>Toute donnée transmise à l'extérieur (collaborateur, congrès, financeur) est pseudonymisée et validée par le responsable de l'étude.</w:t>
      </w:r>
    </w:p>
    <w:p>
      <w:pPr>
        <w:pStyle w:val="ListBullet"/>
      </w:pPr>
      <w:r>
        <w:rPr>
          <w:b w:val="0"/>
          <w:i w:val="0"/>
          <w:sz w:val="22"/>
        </w:rPr>
        <w:t>Les résultats sont restitués aux équipes cliniques qui ont rendu l'étude possible, et, lorsque c'est pertinent, aux associations de patients et aux financeurs, dans un langage accessible.</w:t>
      </w:r>
    </w:p>
    <w:p>
      <w:pPr>
        <w:pStyle w:val="ListBullet"/>
      </w:pPr>
      <w:r>
        <w:rPr>
          <w:b w:val="0"/>
          <w:i w:val="0"/>
          <w:sz w:val="22"/>
        </w:rPr>
        <w:t>On ne communique pas de résultat préliminaire comme s'il était établi ; on distingue clairement l'exploratoire du confirmé.</w:t>
      </w:r>
    </w:p>
    <w:p>
      <w:pPr>
        <w:pStyle w:val="Heading2"/>
      </w:pPr>
      <w:r>
        <w:rPr>
          <w:sz w:val="22"/>
        </w:rPr>
        <w:t>4. Usage des financements</w:t>
      </w:r>
    </w:p>
    <w:p>
      <w:r>
        <w:rPr>
          <w:b w:val="0"/>
          <w:i w:val="0"/>
          <w:sz w:val="22"/>
        </w:rPr>
        <w:t>L'argent du laboratoire provient de fondations, d'organismes publics et de partenaires (Fondation Les Gueules Cassées, Fondation Princesse Grace, INSERM, Mairie de Paris, PEPR, partenariats universitaires, etc.). Il est engagé au service de la recherche et de la formation.</w:t>
      </w:r>
    </w:p>
    <w:p>
      <w:pPr>
        <w:pStyle w:val="ListBullet"/>
      </w:pPr>
      <w:r>
        <w:rPr>
          <w:b/>
          <w:i w:val="0"/>
          <w:sz w:val="22"/>
        </w:rPr>
        <w:t>Décision collégiale :</w:t>
      </w:r>
      <w:r>
        <w:rPr>
          <w:b w:val="0"/>
          <w:i w:val="0"/>
          <w:sz w:val="22"/>
        </w:rPr>
        <w:t xml:space="preserve"> toute utilisation de financement est discutée en réunion de laboratoire, de même que le recrutement de tout nouvel étudiant.</w:t>
      </w:r>
    </w:p>
    <w:p>
      <w:pPr>
        <w:pStyle w:val="ListBullet"/>
      </w:pPr>
      <w:r>
        <w:rPr>
          <w:b/>
          <w:i w:val="0"/>
          <w:sz w:val="22"/>
        </w:rPr>
        <w:t>Remerciements :</w:t>
      </w:r>
      <w:r>
        <w:rPr>
          <w:b w:val="0"/>
          <w:i w:val="0"/>
          <w:sz w:val="22"/>
        </w:rPr>
        <w:t xml:space="preserve"> tout financement est cité dans les publications et présentations correspondantes (voir §6).</w:t>
      </w:r>
    </w:p>
    <w:p>
      <w:pPr>
        <w:pStyle w:val="ListBullet"/>
      </w:pPr>
      <w:r>
        <w:rPr>
          <w:b/>
          <w:i w:val="0"/>
          <w:sz w:val="22"/>
        </w:rPr>
        <w:t>Frais de déplacement.</w:t>
      </w:r>
      <w:r>
        <w:rPr>
          <w:b w:val="0"/>
          <w:i w:val="0"/>
          <w:sz w:val="22"/>
        </w:rPr>
        <w:t xml:space="preserve"> Le laboratoire prend en charge : les frais de transport en deuxième classe (train) ou en classe économique (avion) ; les frais d'hôtel dans des établissements jusqu'à trois étoiles. Il ne prend pas en charge les dépenses journalières (frais de bouche et autres dépenses quotidiennes sur place).</w:t>
      </w:r>
    </w:p>
    <w:p>
      <w:pPr>
        <w:pStyle w:val="Heading2"/>
      </w:pPr>
      <w:r>
        <w:rPr>
          <w:sz w:val="22"/>
        </w:rPr>
        <w:t>5. La bibliothèque Marie-Paule-Vazquez</w:t>
      </w:r>
    </w:p>
    <w:p>
      <w:r>
        <w:rPr>
          <w:b w:val="0"/>
          <w:i w:val="0"/>
          <w:sz w:val="22"/>
        </w:rPr>
        <w:t xml:space="preserve">Le laboratoire dispose de sa bibliothèque, la </w:t>
      </w:r>
      <w:r>
        <w:rPr>
          <w:b w:val="0"/>
          <w:i w:val="0"/>
          <w:sz w:val="22"/>
        </w:rPr>
        <w:t>bibliothèque Marie-Paule-Vazquez</w:t>
      </w:r>
      <w:r>
        <w:rPr>
          <w:b w:val="0"/>
          <w:i w:val="0"/>
          <w:sz w:val="22"/>
        </w:rPr>
        <w:t>, qui en dépend et est présentée sur le site du laboratoire (§7).</w:t>
      </w:r>
    </w:p>
    <w:p>
      <w:r>
        <w:rPr>
          <w:b w:val="0"/>
          <w:i w:val="0"/>
          <w:sz w:val="22"/>
        </w:rPr>
        <w:t>Toute référence utile est ajoutée à la bibliothèque commune, correctement renseignée (DOI, métadonnées complètes).</w:t>
      </w:r>
    </w:p>
    <w:p>
      <w:pPr>
        <w:pStyle w:val="Heading2"/>
      </w:pPr>
      <w:r>
        <w:rPr>
          <w:sz w:val="22"/>
        </w:rPr>
        <w:t>6. Publications scientifiques</w:t>
      </w:r>
    </w:p>
    <w:p>
      <w:pPr>
        <w:pStyle w:val="ListBullet"/>
      </w:pPr>
      <w:r>
        <w:rPr>
          <w:b/>
          <w:i w:val="0"/>
          <w:sz w:val="22"/>
        </w:rPr>
        <w:t>Signature (authorship) :</w:t>
      </w:r>
      <w:r>
        <w:rPr>
          <w:b w:val="0"/>
          <w:i w:val="0"/>
          <w:sz w:val="22"/>
        </w:rPr>
        <w:t xml:space="preserve"> l'ordre et la qualité d'auteur suivent les critères de l'ICMJE (contribution substantielle à la conception ou à l'analyse, rédaction ou révision critique, approbation finale, responsabilité). La contribution de chacun est discutée tôt, pas à la fin.</w:t>
      </w:r>
    </w:p>
    <w:p>
      <w:pPr>
        <w:pStyle w:val="ListBullet"/>
      </w:pPr>
      <w:r>
        <w:rPr>
          <w:b/>
          <w:i w:val="0"/>
          <w:sz w:val="22"/>
        </w:rPr>
        <w:t>Affiliations :</w:t>
      </w:r>
      <w:r>
        <w:rPr>
          <w:b w:val="0"/>
          <w:i w:val="0"/>
          <w:sz w:val="22"/>
        </w:rPr>
        <w:t xml:space="preserve"> toutes les publications portent l'affiliation complète et harmonisée du laboratoire : Laboratoire « Forme et croissance du crâne », Institut Imagine, Université Paris Cité, Paris, France ; Service de chirurgie maxillo-faciale et chirurgie plastique, Hôpital Necker–Enfants Malades, AP-HP, Paris, France.</w:t>
      </w:r>
    </w:p>
    <w:p>
      <w:pPr>
        <w:pStyle w:val="ListBullet"/>
      </w:pPr>
      <w:r>
        <w:rPr>
          <w:b/>
          <w:i w:val="0"/>
          <w:sz w:val="22"/>
        </w:rPr>
        <w:t>Financements et conflits d'intérêts :</w:t>
      </w:r>
      <w:r>
        <w:rPr>
          <w:b w:val="0"/>
          <w:i w:val="0"/>
          <w:sz w:val="22"/>
        </w:rPr>
        <w:t xml:space="preserve"> mentionnés systématiquement dans la section dédiée.</w:t>
      </w:r>
    </w:p>
    <w:p>
      <w:pPr>
        <w:pStyle w:val="Heading2"/>
      </w:pPr>
      <w:r>
        <w:rPr>
          <w:sz w:val="22"/>
        </w:rPr>
        <w:t>7. Site du laboratoire</w:t>
      </w:r>
    </w:p>
    <w:p>
      <w:r>
        <w:rPr>
          <w:b w:val="0"/>
          <w:i w:val="0"/>
          <w:sz w:val="22"/>
        </w:rPr>
        <w:t>Le laboratoire dispose d'un site web qui comporte deux parties : une section ouverte à tous (présentation du laboratoire, équipe, travaux, publications, bibliothèque Marie-Paule-Vazquez) et une section privée protégée par mot de passe, réservée à la vie interne du laboratoire.</w:t>
      </w:r>
    </w:p>
    <w:p>
      <w:r>
        <w:rPr>
          <w:b w:val="0"/>
          <w:i w:val="0"/>
          <w:sz w:val="22"/>
        </w:rPr>
        <w:t>Les décisions suivantes sont discutées en réunion de laboratoire, puis implémentées sur le site du laboratoire (dans sa section privée) :</w:t>
      </w:r>
    </w:p>
    <w:p>
      <w:pPr>
        <w:pStyle w:val="ListBullet"/>
      </w:pPr>
      <w:r>
        <w:rPr>
          <w:b w:val="0"/>
          <w:i w:val="0"/>
          <w:sz w:val="22"/>
        </w:rPr>
        <w:t>les affectations aux postes informatiques ;</w:t>
      </w:r>
    </w:p>
    <w:p>
      <w:pPr>
        <w:pStyle w:val="ListBullet"/>
      </w:pPr>
      <w:r>
        <w:rPr>
          <w:b w:val="0"/>
          <w:i w:val="0"/>
          <w:sz w:val="22"/>
        </w:rPr>
        <w:t>les achats de matériel informatique et les demandes de matériel ou de ressources ;</w:t>
      </w:r>
    </w:p>
    <w:p>
      <w:pPr>
        <w:pStyle w:val="ListBullet"/>
      </w:pPr>
      <w:r>
        <w:rPr>
          <w:b w:val="0"/>
          <w:i w:val="0"/>
          <w:sz w:val="22"/>
        </w:rPr>
        <w:t>les offres de poste de stage et de master.</w:t>
      </w:r>
    </w:p>
    <w:p>
      <w:r>
        <w:rPr>
          <w:b w:val="0"/>
          <w:i w:val="0"/>
          <w:sz w:val="22"/>
        </w:rPr>
        <w:t>La section privée regroupe ainsi les éléments importants pour la vie du laboratoire — dont les comptes rendus des réunions (§8) et les ressources internes.</w:t>
      </w:r>
    </w:p>
    <w:p>
      <w:pPr>
        <w:pStyle w:val="Heading2"/>
      </w:pPr>
      <w:r>
        <w:rPr>
          <w:sz w:val="22"/>
        </w:rPr>
        <w:t>8. Communication et réseaux sociaux</w:t>
      </w:r>
    </w:p>
    <w:p>
      <w:r>
        <w:rPr>
          <w:b w:val="0"/>
          <w:i w:val="0"/>
          <w:sz w:val="22"/>
        </w:rPr>
        <w:t>Le laboratoire communique sur ses travaux (site web, LinkedIn, Instagram, presse). Cette communication engage l'ensemble de l'équipe.</w:t>
      </w:r>
    </w:p>
    <w:p>
      <w:pPr>
        <w:pStyle w:val="ListBullet"/>
      </w:pPr>
      <w:r>
        <w:rPr>
          <w:b/>
          <w:i w:val="0"/>
          <w:sz w:val="22"/>
        </w:rPr>
        <w:t>Cohérence des affiliations :</w:t>
      </w:r>
      <w:r>
        <w:rPr>
          <w:b w:val="0"/>
          <w:i w:val="0"/>
          <w:sz w:val="22"/>
        </w:rPr>
        <w:t xml:space="preserve"> toute communication publique mentionne le laboratoire et ses tutelles de manière homogène (mêmes intitulés que les publications), et renvoie au site du laboratoire comme source de référence. Pour les publications sur les réseaux sociaux (LinkedIn, Instagram, etc.) liées au laboratoire, on fait figurer — et l'on identifie (tag/mention) dans la mesure où ces comptes existent sur le réseau social utilisé — les entités suivantes : le nom du laboratoire, le nom du responsable du laboratoire, l'Institut Imagine, l'Université Paris Cité, l'Assistance Publique – Hôpitaux de Paris (AP-HP), l'Hôpital Necker–Enfants Malades, la Filière TêteCou, le CRMR MAFACE, le CRMR CRANIOST et la Fondation Princesse Grace.</w:t>
      </w:r>
    </w:p>
    <w:p>
      <w:pPr>
        <w:pStyle w:val="ListBullet"/>
      </w:pPr>
      <w:r>
        <w:rPr>
          <w:b/>
          <w:i w:val="0"/>
          <w:sz w:val="22"/>
        </w:rPr>
        <w:t>Aucune donnée patient :</w:t>
      </w:r>
      <w:r>
        <w:rPr>
          <w:b w:val="0"/>
          <w:i w:val="0"/>
          <w:sz w:val="22"/>
        </w:rPr>
        <w:t xml:space="preserve"> jamais de photographie, d'imagerie ou d'information identifiante d'un patient sur les réseaux sociaux, même floutée, sans consentement écrit explicite couvrant précisément cet usage. Dans le doute, on s'abstient.</w:t>
      </w:r>
    </w:p>
    <w:p>
      <w:pPr>
        <w:pStyle w:val="ListBullet"/>
      </w:pPr>
      <w:r>
        <w:rPr>
          <w:b/>
          <w:i w:val="0"/>
          <w:sz w:val="22"/>
        </w:rPr>
        <w:t>Validation :</w:t>
      </w:r>
      <w:r>
        <w:rPr>
          <w:b w:val="0"/>
          <w:i w:val="0"/>
          <w:sz w:val="22"/>
        </w:rPr>
        <w:t xml:space="preserve"> toute publication au nom du laboratoire (LinkedIn, Instagram, site) est validée par le responsable ou une personne mandatée ; les comptes personnels qui évoquent le laboratoire en respectent l'image et les règles.</w:t>
      </w:r>
    </w:p>
    <w:p>
      <w:pPr>
        <w:pStyle w:val="ListBullet"/>
      </w:pPr>
      <w:r>
        <w:rPr>
          <w:b/>
          <w:i w:val="0"/>
          <w:sz w:val="22"/>
        </w:rPr>
        <w:t>Ton :</w:t>
      </w:r>
      <w:r>
        <w:rPr>
          <w:b w:val="0"/>
          <w:i w:val="0"/>
          <w:sz w:val="22"/>
        </w:rPr>
        <w:t xml:space="preserve"> vulgarisation exacte, sans survente ni promesse thérapeutique ; on distingue le résultat de recherche de l'application clinique.</w:t>
      </w:r>
    </w:p>
    <w:p>
      <w:pPr>
        <w:pStyle w:val="ListBullet"/>
      </w:pPr>
      <w:r>
        <w:rPr>
          <w:b/>
          <w:i w:val="0"/>
          <w:sz w:val="22"/>
        </w:rPr>
        <w:t>Crédit :</w:t>
      </w:r>
      <w:r>
        <w:rPr>
          <w:b w:val="0"/>
          <w:i w:val="0"/>
          <w:sz w:val="22"/>
        </w:rPr>
        <w:t xml:space="preserve"> on cite les personnes, les collaborateurs et les financeurs concernés.</w:t>
      </w:r>
    </w:p>
    <w:p>
      <w:pPr>
        <w:pStyle w:val="Heading2"/>
      </w:pPr>
      <w:r>
        <w:rPr>
          <w:sz w:val="22"/>
        </w:rPr>
        <w:t>9. Vie du laboratoire et comptes rendus</w:t>
      </w:r>
    </w:p>
    <w:p>
      <w:r>
        <w:rPr>
          <w:b w:val="0"/>
          <w:i w:val="0"/>
          <w:sz w:val="22"/>
        </w:rPr>
        <w:t>Respect, bienveillance et entraide sont la règle. Chacun contribue aux réunions, à la formation des plus jeunes et à la bonne tenue des espaces et outils communs.</w:t>
      </w:r>
    </w:p>
    <w:p>
      <w:r>
        <w:rPr>
          <w:b/>
          <w:i w:val="0"/>
          <w:sz w:val="22"/>
        </w:rPr>
        <w:t>Comptes rendus systématiques.</w:t>
      </w:r>
      <w:r>
        <w:rPr>
          <w:b w:val="0"/>
          <w:i w:val="0"/>
          <w:sz w:val="22"/>
        </w:rPr>
        <w:t xml:space="preserve"> Tous les événements scientifiques réalisés dans le cadre du laboratoire et/ou financés par le laboratoire font l'objet d'un compte rendu, chargé de manière régulière sur le site du laboratoire (section privée, §7). Cela concerne notamment : les déjeuners de thèse, les réunions de suivi de thèse, les déjeuners scientifiques, les déplacements scientifiques et les séminaires réalisés dans le cadre de projets spécifiques du laboratoire, etc.</w:t>
      </w:r>
    </w:p>
    <w:p>
      <w:r>
        <w:rPr>
          <w:b w:val="0"/>
          <w:i w:val="0"/>
          <w:sz w:val="22"/>
        </w:rPr>
        <w:t>Le compte rendu doit être succinct et contenir les noms des personnes présentes ainsi que les thématiques évoquées. Cette traçabilité est la mémoire du laboratoire : elle vaut pour toute rencontre engageant son nom ou ses moyens.</w:t>
      </w:r>
    </w:p>
    <w:p>
      <w:r>
        <w:rPr>
          <w:b w:val="0"/>
          <w:i/>
          <w:sz w:val="22"/>
        </w:rPr>
        <w:t>« En rejoignant le laboratoire, je reconnais avoir lu cette charte et m'engage à en respecter les principes. »</w:t>
      </w:r>
    </w:p>
    <w:p/>
    <w:p>
      <w:r>
        <w:rPr>
          <w:b/>
          <w:sz w:val="22"/>
        </w:rPr>
        <w:t>Engagement individuel</w:t>
      </w:r>
    </w:p>
    <w:p>
      <w:r>
        <w:rPr>
          <w:sz w:val="22"/>
        </w:rPr>
        <w:t>Fait à Paris, le ………………………………..</w:t>
      </w:r>
    </w:p>
    <w:p>
      <w:r>
        <w:rPr>
          <w:sz w:val="22"/>
        </w:rPr>
        <w:t>Je soussigné(e), Mr / Mme …………………………………………………………………………………………..</w:t>
      </w:r>
    </w:p>
    <w:p>
      <w:r>
        <w:rPr>
          <w:sz w:val="22"/>
        </w:rPr>
        <w:t>Membre du laboratoire Forme et Croissance du Crâne au sein de l'Hôpital Universitaire Necker-Enfants Malades, AP-HP, Paris, déclare avoir pris connaissance de la présente charte et m'engage à en respecter les principes, notamment ceux relatifs à la protection et à l'anonymisation des données médicales rappelés au §2.</w:t>
      </w:r>
    </w:p>
    <w:p>
      <w:r>
        <w:rPr>
          <w:sz w:val="22"/>
        </w:rPr>
        <w:t>Nom : ……………………………… Date : …………… Signature :</w:t>
      </w:r>
    </w:p>
    <w:p>
      <w:r>
        <w:rPr>
          <w:sz w:val="22"/>
        </w:rPr>
        <w:br w:type="page"/>
      </w:r>
    </w:p>
    <w:p>
      <w:pPr>
        <w:pStyle w:val="Heading1"/>
      </w:pPr>
      <w:r>
        <w:rPr>
          <w:sz w:val="22"/>
        </w:rPr>
        <w:t>Annexe — Procédure technique de gestion des données</w:t>
      </w:r>
    </w:p>
    <w:p>
      <w:pPr>
        <w:pStyle w:val="Heading2"/>
      </w:pPr>
      <w:r>
        <w:rPr>
          <w:sz w:val="22"/>
        </w:rPr>
        <w:t>Préambule</w:t>
      </w:r>
    </w:p>
    <w:p>
      <w:r>
        <w:rPr>
          <w:b w:val="0"/>
          <w:i w:val="0"/>
          <w:sz w:val="22"/>
        </w:rPr>
        <w:t>Tout téléchargement de données (plus de 15 imageries) qui sont mises sur le NAS doit s'accompagner d'un mail à ombline.delassus@universite-paris-saclay.fr en mentionnant :</w:t>
      </w:r>
    </w:p>
    <w:p>
      <w:pPr>
        <w:pStyle w:val="ListBullet"/>
      </w:pPr>
      <w:r>
        <w:rPr>
          <w:sz w:val="22"/>
        </w:rPr>
        <w:t>Maladie/contrôle concerné</w:t>
      </w:r>
    </w:p>
    <w:p>
      <w:pPr>
        <w:pStyle w:val="ListBullet"/>
      </w:pPr>
      <w:r>
        <w:rPr>
          <w:sz w:val="22"/>
        </w:rPr>
        <w:t>Type de données ajouté</w:t>
      </w:r>
    </w:p>
    <w:p>
      <w:pPr>
        <w:pStyle w:val="ListBullet"/>
      </w:pPr>
      <w:r>
        <w:rPr>
          <w:sz w:val="22"/>
        </w:rPr>
        <w:t>Tableur avec les données ajoutées</w:t>
      </w:r>
    </w:p>
    <w:p>
      <w:r>
        <w:rPr>
          <w:b w:val="0"/>
          <w:i w:val="0"/>
          <w:sz w:val="22"/>
        </w:rPr>
        <w:t>L'ensemble des personnes utilisant des données au sein du laboratoire s'engagent à suivre les règles de téléchargement, d'anonymisation et de sauvegarde. Aucune donnée ne doit sortir des locaux du laboratoire sans autorisation de son supérieur.</w:t>
      </w:r>
    </w:p>
    <w:p>
      <w:pPr>
        <w:pStyle w:val="Heading2"/>
      </w:pPr>
      <w:r>
        <w:rPr>
          <w:sz w:val="22"/>
        </w:rPr>
        <w:t>Téléchargement des données</w:t>
      </w:r>
    </w:p>
    <w:p>
      <w:pPr>
        <w:pStyle w:val="Heading3"/>
      </w:pPr>
      <w:r>
        <w:rPr>
          <w:sz w:val="22"/>
        </w:rPr>
        <w:t>1. Données existantes</w:t>
      </w:r>
    </w:p>
    <w:p>
      <w:r>
        <w:rPr>
          <w:b w:val="0"/>
          <w:i w:val="0"/>
          <w:sz w:val="22"/>
        </w:rPr>
        <w:t>Sur le NAS, triées par maladies. Chemin : \\wprod.ds.aphp.fr\CUP\NCK\CFGF</w:t>
      </w:r>
    </w:p>
    <w:p>
      <w:pPr>
        <w:pStyle w:val="Heading3"/>
      </w:pPr>
      <w:r>
        <w:rPr>
          <w:sz w:val="22"/>
        </w:rPr>
        <w:t>2. Données à télécharger</w:t>
      </w:r>
    </w:p>
    <w:p>
      <w:r>
        <w:rPr>
          <w:b w:val="0"/>
          <w:i w:val="0"/>
          <w:sz w:val="22"/>
        </w:rPr>
        <w:t>Il faut avoir vérifié au préalable que des données ne sont pas déjà présentes sur le NAS afin de ne pas recommencer un travail déjà réalisé.</w:t>
      </w:r>
    </w:p>
    <w:p>
      <w:r>
        <w:rPr>
          <w:b w:val="0"/>
          <w:i w:val="0"/>
          <w:sz w:val="22"/>
        </w:rPr>
        <w:t>Procédure :</w:t>
      </w:r>
    </w:p>
    <w:p>
      <w:pPr>
        <w:pStyle w:val="ListBullet"/>
      </w:pPr>
      <w:r>
        <w:rPr>
          <w:sz w:val="22"/>
        </w:rPr>
        <w:t>Un des 2 ordinateurs sur les petites tables</w:t>
      </w:r>
    </w:p>
    <w:p>
      <w:pPr>
        <w:pStyle w:val="ListBullet"/>
      </w:pPr>
      <w:r>
        <w:rPr>
          <w:sz w:val="22"/>
        </w:rPr>
        <w:t>Logo jaune orange sur le bureau « PACS »</w:t>
      </w:r>
    </w:p>
    <w:p>
      <w:pPr>
        <w:pStyle w:val="ListBullet"/>
      </w:pPr>
      <w:r>
        <w:rPr>
          <w:sz w:val="22"/>
        </w:rPr>
        <w:t>« Chercher »</w:t>
      </w:r>
    </w:p>
    <w:p>
      <w:pPr>
        <w:pStyle w:val="ListBullet"/>
      </w:pPr>
      <w:r>
        <w:rPr>
          <w:sz w:val="22"/>
        </w:rPr>
        <w:t>Sur la barre en haut de l'écran chercher avec « Nom » et/ou « Prénom » et/ou « Date » et/ou « Mod » (MR=IRM, CT=scanner)</w:t>
      </w:r>
    </w:p>
    <w:p>
      <w:r>
        <w:rPr>
          <w:b w:val="0"/>
          <w:i w:val="0"/>
          <w:sz w:val="22"/>
        </w:rPr>
        <w:t>Éviter de chercher par IPP car parfois un patient a plusieurs IPP. Pour les noms/prénoms composés : ne mettre que le premier ; le premier est mis dans le dossier.</w:t>
      </w:r>
    </w:p>
    <w:p>
      <w:r>
        <w:rPr>
          <w:b w:val="0"/>
          <w:i w:val="0"/>
          <w:sz w:val="22"/>
        </w:rPr>
        <w:t>Avant d'ouvrir une image : vérifier que l'âge du patient correspond avec la date de naissance arrivée : situation déjà arrivée avec même nom et prénom mais un avait 2 ans et l'autre 97 ans.</w:t>
      </w:r>
    </w:p>
    <w:p>
      <w:r>
        <w:rPr>
          <w:b w:val="0"/>
          <w:i w:val="0"/>
          <w:sz w:val="22"/>
        </w:rPr>
        <w:t>Séquences utilisables :</w:t>
      </w:r>
    </w:p>
    <w:p>
      <w:pPr>
        <w:pStyle w:val="ListBullet"/>
      </w:pPr>
      <w:r>
        <w:rPr>
          <w:sz w:val="22"/>
        </w:rPr>
        <w:t>IRM (pour analyses structurelles) : avant 6 mois d'âge — T2 : Sag Cube T2, Cube T2, Sag Cube T2HS15rapide, Cube T2FOV25cm ; entre 6 mois et 12 mois d'âge — NON exploitable ; plus de 12 mois — T1 : 3D Ir Prep myeline ASSET, Ax 3D FSPGR BRAVO, 3D T1 SPGR TE MF 1, 3DT1Ir, 3DT1, CubeT1FOV25cm, 3D FSPGR BRAVO, 3DT1SPGR, 3D FSPGR BRAVOIR, Ax 3D FSPGR BRAVOR, 3DT1rapide, 3DT1myeline, 3D Ir Prep myeline</w:t>
      </w:r>
    </w:p>
    <w:p>
      <w:pPr>
        <w:pStyle w:val="ListBullet"/>
      </w:pPr>
      <w:r>
        <w:rPr>
          <w:sz w:val="22"/>
        </w:rPr>
        <w:t>Scanner : télécharger toutes les images</w:t>
      </w:r>
    </w:p>
    <w:p>
      <w:r>
        <w:rPr>
          <w:b w:val="0"/>
          <w:i w:val="0"/>
          <w:sz w:val="22"/>
        </w:rPr>
        <w:t>Enregistrer l'imagerie :</w:t>
      </w:r>
    </w:p>
    <w:p>
      <w:pPr>
        <w:pStyle w:val="ListBullet"/>
      </w:pPr>
      <w:r>
        <w:rPr>
          <w:sz w:val="22"/>
        </w:rPr>
        <w:t>Cliquer sur l'image de la bonne séquence (sinon ça enregistre la séquence « active »)</w:t>
      </w:r>
    </w:p>
    <w:p>
      <w:pPr>
        <w:pStyle w:val="ListBullet"/>
      </w:pPr>
      <w:r>
        <w:rPr>
          <w:sz w:val="22"/>
        </w:rPr>
        <w:t>Aller dans le menu « Exporter » et après case « anonymisation », cocher « anonymisation »</w:t>
      </w:r>
    </w:p>
    <w:p>
      <w:pPr>
        <w:pStyle w:val="ListBullet"/>
      </w:pPr>
      <w:r>
        <w:rPr>
          <w:sz w:val="22"/>
        </w:rPr>
        <w:t>Une fois « Completed » écrit dans le terminal, le fichier est sauvegardé</w:t>
      </w:r>
    </w:p>
    <w:p>
      <w:r>
        <w:rPr>
          <w:b w:val="0"/>
          <w:i w:val="0"/>
          <w:sz w:val="22"/>
        </w:rPr>
        <w:t>Nom des fichiers : plusieurs possibilités. NOM du patient/ou IPP avant de rechercher dans le PACS est connu :</w:t>
      </w:r>
    </w:p>
    <w:p>
      <w:pPr>
        <w:pStyle w:val="ListBullet"/>
      </w:pPr>
      <w:r>
        <w:rPr>
          <w:sz w:val="22"/>
        </w:rPr>
        <w:t>Le nom du fichier est : IPPFCC_datenaissance_dateexamen_sequence</w:t>
      </w:r>
    </w:p>
    <w:p>
      <w:pPr>
        <w:pStyle w:val="ListBullet"/>
      </w:pPr>
      <w:r>
        <w:rPr>
          <w:sz w:val="22"/>
        </w:rPr>
        <w:t>L'IPP avant de rechercher dans le PACS est inconnu : le nom du fichier est : NOM3premiereslettresprénom_datenaissance_dateexamen_sequence</w:t>
      </w:r>
    </w:p>
    <w:p>
      <w:r>
        <w:rPr>
          <w:b w:val="0"/>
          <w:i w:val="0"/>
          <w:sz w:val="22"/>
        </w:rPr>
        <w:t>L'intérêt d'anonymiser le nom des données dès le début est de ne pas avoir un traitement supplémentaire à réaliser et de pouvoir échanger sur les données avec un autre laboratoire — créer une colonne IPP_FCC dans l'Excel de database avec la clé d'anonymisation (la demander à un permanent).</w:t>
      </w:r>
    </w:p>
    <w:p>
      <w:pPr>
        <w:pStyle w:val="Heading3"/>
      </w:pPr>
      <w:r>
        <w:rPr>
          <w:sz w:val="22"/>
        </w:rPr>
        <w:t>3. Cas des bases de données de contrôle sans liste préalable</w:t>
      </w:r>
    </w:p>
    <w:p>
      <w:r>
        <w:rPr>
          <w:b w:val="0"/>
          <w:i w:val="0"/>
          <w:sz w:val="22"/>
        </w:rPr>
        <w:t>Il faut aller sur le PACS et chercher par dates et NON par Nom et choisir une période (du 1er du mois au 30/31 de ce mois), cocher « Yes » dans la colonne CR afin de prendre les examens qui ont le compte rendu et choisir le Mod souhaité.</w:t>
      </w:r>
    </w:p>
    <w:p>
      <w:r>
        <w:rPr>
          <w:b w:val="0"/>
          <w:i w:val="0"/>
          <w:sz w:val="22"/>
        </w:rPr>
        <w:t>Il faut ouvrir chaque examen successivement, aller dans le compte rendu (en haut à gauche, icône blanche/jaune « bloc note »), regarder la conclusion (pas d'anomalie, examen normale) puis vérifier le motif de l'examen (traumatologie par exemple).</w:t>
      </w:r>
    </w:p>
    <w:p>
      <w:r>
        <w:rPr>
          <w:b w:val="0"/>
          <w:i w:val="0"/>
          <w:sz w:val="22"/>
        </w:rPr>
        <w:t>Ensuite même procédure pour sauvegarder mais avec une colonne « indications » et « conclusions » dans le tableur, qui correspond à des copiés-collés du compte rendu.</w:t>
      </w:r>
    </w:p>
    <w:p>
      <w:r>
        <w:rPr>
          <w:b w:val="0"/>
          <w:i w:val="0"/>
          <w:sz w:val="22"/>
        </w:rPr>
        <w:t>Il faut noter les périodes pendant lesquelles les examens ont été téléchargés dans le document Dates_controles_existants pour ne pas avoir à les refaire.</w:t>
      </w:r>
    </w:p>
    <w:p>
      <w:pPr>
        <w:pStyle w:val="Heading2"/>
      </w:pPr>
      <w:r>
        <w:rPr>
          <w:sz w:val="22"/>
        </w:rPr>
        <w:t>Anonymisation des données</w:t>
      </w:r>
    </w:p>
    <w:p>
      <w:r>
        <w:rPr>
          <w:b w:val="0"/>
          <w:i w:val="0"/>
          <w:sz w:val="22"/>
        </w:rPr>
        <w:t>IRM : en réalité les IRM ne sont pas anonymisées depuis le PACS, si elles sont ouvertes sur un logiciel, les paramètres patients s'affichent.</w:t>
      </w:r>
    </w:p>
    <w:p>
      <w:r>
        <w:rPr>
          <w:b w:val="0"/>
          <w:i w:val="0"/>
          <w:sz w:val="22"/>
        </w:rPr>
        <w:t>Procédure :</w:t>
      </w:r>
    </w:p>
    <w:p>
      <w:pPr>
        <w:pStyle w:val="ListNumber"/>
      </w:pPr>
      <w:r>
        <w:rPr>
          <w:sz w:val="22"/>
        </w:rPr>
        <w:t>Sur Mricron</w:t>
      </w:r>
    </w:p>
    <w:p>
      <w:pPr>
        <w:pStyle w:val="ListNumber"/>
      </w:pPr>
      <w:r>
        <w:rPr>
          <w:sz w:val="22"/>
        </w:rPr>
        <w:t>Import : Dicom en Nifti</w:t>
      </w:r>
    </w:p>
    <w:p>
      <w:pPr>
        <w:pStyle w:val="ListNumber"/>
      </w:pPr>
      <w:r>
        <w:rPr>
          <w:sz w:val="22"/>
        </w:rPr>
        <w:t>Mettre le nom de l'image : IPPFCC_datenaissance_dateexamen_sequence</w:t>
      </w:r>
    </w:p>
    <w:p>
      <w:pPr>
        <w:pStyle w:val="ListNumber"/>
      </w:pPr>
      <w:r>
        <w:rPr>
          <w:sz w:val="22"/>
        </w:rPr>
        <w:t>Choisir le dossier où l'image va être enregistrée</w:t>
      </w:r>
    </w:p>
    <w:p>
      <w:pPr>
        <w:pStyle w:val="ListNumber"/>
      </w:pPr>
      <w:r>
        <w:rPr>
          <w:sz w:val="22"/>
        </w:rPr>
        <w:t>Choisir compressed Nifti</w:t>
      </w:r>
    </w:p>
    <w:p>
      <w:pPr>
        <w:pStyle w:val="ListNumber"/>
      </w:pPr>
      <w:r>
        <w:rPr>
          <w:sz w:val="22"/>
        </w:rPr>
        <w:t>Choisir : Yes Anonymised</w:t>
      </w:r>
    </w:p>
    <w:p>
      <w:pPr>
        <w:pStyle w:val="ListNumber"/>
      </w:pPr>
      <w:r>
        <w:rPr>
          <w:sz w:val="22"/>
        </w:rPr>
        <w:t>Cocher : Precise Phillips scalling</w:t>
      </w:r>
    </w:p>
    <w:p>
      <w:pPr>
        <w:pStyle w:val="ListNumber"/>
      </w:pPr>
      <w:r>
        <w:rPr>
          <w:sz w:val="22"/>
        </w:rPr>
        <w:t>Faire glisser le dossier initial dans la fenêtre de droite</w:t>
      </w:r>
    </w:p>
    <w:p>
      <w:pPr>
        <w:pStyle w:val="ListNumber"/>
      </w:pPr>
      <w:r>
        <w:rPr>
          <w:sz w:val="22"/>
        </w:rPr>
        <w:t>Une fois « Completed » écrit dans le terminal le fichier est sauvegardé</w:t>
      </w:r>
    </w:p>
    <w:p>
      <w:r>
        <w:rPr>
          <w:b w:val="0"/>
          <w:i w:val="0"/>
          <w:sz w:val="22"/>
        </w:rPr>
        <w:t>Scanner : télécharger toutes les images — DICOM Anonymizer.</w:t>
      </w:r>
    </w:p>
    <w:p>
      <w:pPr>
        <w:pStyle w:val="Heading2"/>
      </w:pPr>
      <w:r>
        <w:rPr>
          <w:sz w:val="22"/>
        </w:rPr>
        <w:t>Rangement et archivage</w:t>
      </w:r>
    </w:p>
    <w:p>
      <w:r>
        <w:rPr>
          <w:b w:val="0"/>
          <w:i w:val="0"/>
          <w:sz w:val="22"/>
        </w:rPr>
        <w:t>Lorsque les données sont téléchargées/anonymisées, elles doivent être rangées dans le NAS et structurées par maladies puis par imageries.</w:t>
      </w:r>
    </w:p>
    <w:p>
      <w:r>
        <w:rPr>
          <w:b w:val="0"/>
          <w:i w:val="0"/>
          <w:sz w:val="22"/>
        </w:rPr>
        <w:t>NB : IPP-FCC est l'identifiant du patient (IPP) modifié selon une règle de transformation numérique pour le rendre incompréhensible en dehors des membres du laboratoire. Dans les fichiers Excel stockés sur le NAS, toujours indiquer IPP et IPP-FCC dans deux colonnes distinctes. Pour tout fichier sortant du laboratoire (ordinateur personnel, disques durs, clé USB…), enlever toute information susceptible d'être utilisée pour reconnaître le patient, et ne garder que l'IPP-FCC.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