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/>
        <w:jc w:val="center"/>
      </w:pPr>
      <w:r>
        <w:rPr>
          <w:b/>
          <w:bCs/>
          <w:color w:val="0B4F8A"/>
          <w:spacing w:val="14"/>
          <w:sz w:val="18"/>
          <w:szCs w:val="18"/>
        </w:rPr>
        <w:t xml:space="preserve">ASSISTANCE PUBLIQUE – HÔPITAUX DE PARIS  ·  HÔPITAL NECKER-ENFANTS MALADES</w:t>
      </w:r>
    </w:p>
    <w:p>
      <w:pPr>
        <w:spacing w:after="20"/>
        <w:jc w:val="center"/>
      </w:pPr>
      <w:r>
        <w:rPr>
          <w:b/>
          <w:bCs/>
          <w:color w:val="1A2230"/>
          <w:sz w:val="26"/>
          <w:szCs w:val="26"/>
        </w:rPr>
        <w:t xml:space="preserve">Déclaration au registre des traitements (RGPD art. 30) — conformité MR-004</w:t>
      </w:r>
    </w:p>
    <w:p>
      <w:pPr>
        <w:spacing w:after="60"/>
        <w:jc w:val="center"/>
      </w:pPr>
      <w:r>
        <w:rPr>
          <w:i/>
          <w:iCs/>
          <w:color w:val="5B6675"/>
          <w:sz w:val="20"/>
          <w:szCs w:val="20"/>
        </w:rPr>
        <w:t xml:space="preserve">Laboratoire « Forme et Croissance du Crâne »</w:t>
      </w:r>
    </w:p>
    <w:p>
      <w:pPr>
        <w:pBdr>
          <w:bottom w:val="single" w:color="C9D2DE" w:sz="8" w:space="2"/>
        </w:pBdr>
        <w:spacing w:after="120"/>
      </w:pPr>
    </w:p>
    <w:p>
      <w:pPr>
        <w:pStyle w:val="Heading1"/>
        <w:spacing w:after="120" w:before="220"/>
      </w:pPr>
      <w:r>
        <w:rPr>
          <w:b/>
          <w:bCs/>
          <w:color w:val="0B4F8A"/>
          <w:sz w:val="26"/>
          <w:szCs w:val="26"/>
        </w:rPr>
        <w:t xml:space="preserve">Étude 5 — Croissance du crâne et de la charnière cervico-occipitale dans les malformations craniofaciales suivies aux CRMR MAFACE et CRANIOST (hors FGFR)</w:t>
      </w:r>
    </w:p>
    <w:tbl>
      <w:tblPr>
        <w:tblW w:type="dxa" w:w="9700"/>
        <w:tblBorders>
          <w:top w:val="single" w:color="C9D2DE" w:sz="6"/>
          <w:left w:val="single" w:color="C9D2DE" w:sz="6"/>
          <w:bottom w:val="single" w:color="C9D2DE" w:sz="6"/>
          <w:right w:val="single" w:color="C9D2DE" w:sz="6"/>
          <w:insideH w:val="single" w:color="C9D2DE" w:sz="6"/>
          <w:insideV w:val="single" w:color="C9D2DE" w:sz="6"/>
        </w:tblBorders>
      </w:tblPr>
      <w:tblGrid>
        <w:gridCol w:w="3050"/>
        <w:gridCol w:w="6650"/>
      </w:tblGrid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Titre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Croissance du crâne et de la charnière cervico-occipitale dans les malformations craniofaciales suivies aux CRMR MAFACE et CRANIOST (hors FGFR)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Assistance Publique – Hôpitaux de Paris (AP-HP) — Hôpital Necker-Enfants Malades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Responsable scientifique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Pr Roman Hossein Khonsari, Laboratoire « Forme et Croissance du Crâne », Institut Imagine ; Service de chirurgie maxillo-faciale et plastique, Hôpital Necker-Enfants Malades (AP-HP)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Délégué à la protection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Philippe Tourenne, Délégué à la protection des données (DPO), AP-HP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Finalité de la recherche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Modéliser la croissance du crâne et de la charnière cervico-occipitale à partir de scanner et d'IRM, sur les malformations craniofaciales suivies aux CRMR MAFACE et CRANIOST.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Personnes concernées (périmètre)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Patients suivis aux CRMR MAFACE et CRANIOST pour : craniosténoses syndromiques (par ex. syndrome de Crouzon), microsomie craniofaciale (dysplasies otomandibulaires), et maladies osseuses constitutionnelles affectant le massif craniofacial. [Liste précise des pathologies à confirmer.]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Catégories de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Imagerie scanner et IRM (PACS).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Données cliniques sélectionnées extraites d'Orbis.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Source des données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PACS et Orbis (AP-HP).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Période de l'étude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Septembre 2026 – Septembre 2029 (durée : 3 ans)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Conservation et lieu de traitement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Conservation exclusive sur le NAS de l'AP-HP (arborescence dédiée du laboratoire, chemin institutionnel \\wprod.ds.aphp.fr\CUP\NCK\CFGF).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Les données extraites du NAS sont anonymisées avant analyse ; elles sont exploitées uniquement sur les ordinateurs du laboratoire « Forme et Croissance du Crâne ».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Destinataires / accès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Équipe de recherche du laboratoire « Forme et Croissance du Crâne » habilitée, sous la responsabilité du responsable scientifique. Aucun accès par des tiers non autorisés.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Transfert hors UE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Aucun transfert de données hors de l'Union européenne.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Base légale et méthodologie de référence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Traitement dans le cadre d'une recherche n'impliquant pas la personne humaine (RnIPH) — réutilisation de données déjà recueillies.</w:t>
            </w:r>
          </w:p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Conformité à la Méthodologie de Référence MR-004 (CNIL, délibération n° 2018-155). Base légale : mission d'intérêt public / recherche scientifique (RGPD art. 6-1-e et 9-2-j).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Information et droits des personnes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Information individuelle ou collective des personnes concernées, avec droit d'opposition, conformément à la MR-004 et au RGPD (art. 12 à 21). Pas de recueil de consentement spécifique (RnIPH), hors cas particuliers.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Mesures de sécurité / anonymisation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Anonymisation des données avant analyse hors NAS ; accès restreint et tracé ; postes du laboratoire sécurisés ; pas de stockage de données non anonymisées sur du matériel personnel.</w:t>
            </w:r>
          </w:p>
        </w:tc>
      </w:tr>
      <w:tr>
        <w:tc>
          <w:tcPr>
            <w:tcW w:type="dxa" w:w="3050"/>
            <w:shd w:fill="EEF3F8" w:color="auto" w:val="clear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/>
                <w:bCs/>
                <w:color w:val="1A2230"/>
                <w:sz w:val="20"/>
                <w:szCs w:val="20"/>
              </w:rPr>
              <w:t xml:space="preserve">Engagement de conformité MR-004</w:t>
            </w:r>
          </w:p>
        </w:tc>
        <w:tc>
          <w:tcPr>
            <w:tcW w:type="dxa" w:w="6650"/>
            <w:tcMar>
              <w:top w:type="dxa" w:w="54"/>
              <w:left w:type="dxa" w:w="110"/>
              <w:bottom w:type="dxa" w:w="54"/>
              <w:right w:type="dxa" w:w="110"/>
            </w:tcMar>
            <w:vAlign w:val="center"/>
          </w:tcPr>
          <w:p>
            <w:pPr>
              <w:spacing w:after="40"/>
            </w:pPr>
            <w:r>
              <w:rPr>
                <w:b w:val="false"/>
                <w:bCs w:val="false"/>
                <w:color w:val="1A2230"/>
                <w:sz w:val="20"/>
                <w:szCs w:val="20"/>
              </w:rPr>
              <w:t xml:space="preserve">Le responsable de traitement s'engage à ce que le traitement soit mis en œuvre dans le strict respect des dispositions de la MR-004 (CNIL, délib. n° 2018-155) : finalité de recherche, absence de finalité commerciale, réutilisation de données de santé, conservation et sécurité conformes, information et droits des personnes garantis.</w:t>
            </w:r>
          </w:p>
        </w:tc>
      </w:tr>
    </w:tbl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23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Déclaration registre AP-HP — MR-004</dc:title>
  <dc:creator>Laboratoire Forme et Croissance du Crâne — AP-HP / Institut Imagine</dc:creator>
  <cp:lastModifiedBy>Un-named</cp:lastModifiedBy>
  <cp:revision>1</cp:revision>
  <dcterms:created xsi:type="dcterms:W3CDTF">2026-09-04T09:20:04.080Z</dcterms:created>
  <dcterms:modified xsi:type="dcterms:W3CDTF">2026-09-04T09:20:04.080Z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