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Project</w:t>
      </w:r>
      <w:r>
        <w:t xml:space="preserve"> </w:t>
      </w:r>
      <w:r>
        <w:t xml:space="preserve">—</w:t>
      </w:r>
      <w:r>
        <w:t xml:space="preserve"> </w:t>
      </w:r>
      <w:r>
        <w:t xml:space="preserve">Progression</w:t>
      </w:r>
      <w:r>
        <w:t xml:space="preserve"> </w:t>
      </w:r>
      <w:r>
        <w:t xml:space="preserve">Margins</w:t>
      </w:r>
      <w:r>
        <w:t xml:space="preserve"> </w:t>
      </w:r>
      <w:r>
        <w:t xml:space="preserve">of</w:t>
      </w:r>
      <w:r>
        <w:t xml:space="preserve"> </w:t>
      </w:r>
      <w:r>
        <w:t xml:space="preserve">Fibrous</w:t>
      </w:r>
      <w:r>
        <w:t xml:space="preserve"> </w:t>
      </w:r>
      <w:r>
        <w:t xml:space="preserve">Dysplasia</w:t>
      </w:r>
    </w:p>
    <w:p>
      <w:pPr>
        <w:pStyle w:val="Subtitle"/>
      </w:pPr>
      <w:r>
        <w:t xml:space="preserve">An</w:t>
      </w:r>
      <w:r>
        <w:t xml:space="preserve"> </w:t>
      </w:r>
      <w:r>
        <w:t xml:space="preserve">integrated</w:t>
      </w:r>
      <w:r>
        <w:t xml:space="preserve"> </w:t>
      </w:r>
      <w:r>
        <w:t xml:space="preserve">histological,</w:t>
      </w:r>
      <w:r>
        <w:t xml:space="preserve"> </w:t>
      </w:r>
      <w:r>
        <w:t xml:space="preserve">radiological</w:t>
      </w:r>
      <w:r>
        <w:t xml:space="preserve"> </w:t>
      </w:r>
      <w:r>
        <w:t xml:space="preserve">and</w:t>
      </w:r>
      <w:r>
        <w:t xml:space="preserve"> </w:t>
      </w:r>
      <w:r>
        <w:t xml:space="preserve">transcriptomic</w:t>
      </w:r>
      <w:r>
        <w:t xml:space="preserve"> </w:t>
      </w:r>
      <w:r>
        <w:t xml:space="preserve">study</w:t>
      </w:r>
      <w:r>
        <w:t xml:space="preserve"> </w:t>
      </w:r>
      <w:r>
        <w:t xml:space="preserve">of</w:t>
      </w:r>
      <w:r>
        <w:t xml:space="preserve"> </w:t>
      </w:r>
      <w:r>
        <w:t xml:space="preserve">lesion</w:t>
      </w:r>
      <w:r>
        <w:t xml:space="preserve"> </w:t>
      </w:r>
      <w:r>
        <w:t xml:space="preserve">growth</w:t>
      </w:r>
      <w:r>
        <w:t xml:space="preserve"> </w:t>
      </w:r>
      <w:r>
        <w:t xml:space="preserve">dynamics</w:t>
      </w:r>
    </w:p>
    <w:p>
      <w:pPr>
        <w:pStyle w:val="Author"/>
      </w:pPr>
      <w:r>
        <w:t xml:space="preserve">Student:</w:t>
      </w:r>
      <w:r>
        <w:t xml:space="preserve"> </w:t>
      </w:r>
      <w:r>
        <w:t xml:space="preserve">Julia</w:t>
      </w:r>
      <w:r>
        <w:t xml:space="preserve"> </w:t>
      </w:r>
      <w:r>
        <w:t xml:space="preserve">·</w:t>
      </w:r>
      <w:r>
        <w:t xml:space="preserve"> </w:t>
      </w:r>
      <w:r>
        <w:t xml:space="preserve">Laboratory</w:t>
      </w:r>
      <w:r>
        <w:t xml:space="preserve"> </w:t>
      </w:r>
      <w:r>
        <w:t xml:space="preserve">‘</w:t>
      </w:r>
      <w:r>
        <w:t xml:space="preserve">Form</w:t>
      </w:r>
      <w:r>
        <w:t xml:space="preserve"> </w:t>
      </w:r>
      <w:r>
        <w:t xml:space="preserve">and</w:t>
      </w:r>
      <w:r>
        <w:t xml:space="preserve"> </w:t>
      </w:r>
      <w:r>
        <w:t xml:space="preserve">Growth</w:t>
      </w:r>
      <w:r>
        <w:t xml:space="preserve"> </w:t>
      </w:r>
      <w:r>
        <w:t xml:space="preserve">of</w:t>
      </w:r>
      <w:r>
        <w:t xml:space="preserve"> </w:t>
      </w:r>
      <w:r>
        <w:t xml:space="preserve">the</w:t>
      </w:r>
      <w:r>
        <w:t xml:space="preserve"> </w:t>
      </w:r>
      <w:r>
        <w:t xml:space="preserve">Skull</w:t>
      </w:r>
      <w:r>
        <w:t xml:space="preserve">’</w:t>
      </w:r>
      <w:r>
        <w:t xml:space="preserve">,</w:t>
      </w:r>
      <w:r>
        <w:t xml:space="preserve"> </w:t>
      </w:r>
      <w:r>
        <w:t xml:space="preserve">Necker–Enfants</w:t>
      </w:r>
      <w:r>
        <w:t xml:space="preserve"> </w:t>
      </w:r>
      <w:r>
        <w:t xml:space="preserve">Malades</w:t>
      </w:r>
      <w:r>
        <w:t xml:space="preserve"> </w:t>
      </w:r>
      <w:r>
        <w:t xml:space="preserve">/</w:t>
      </w:r>
      <w:r>
        <w:t xml:space="preserve"> </w:t>
      </w:r>
      <w:r>
        <w:t xml:space="preserve">Imagine</w:t>
      </w:r>
      <w:r>
        <w:t xml:space="preserve"> </w:t>
      </w:r>
      <w:r>
        <w:t xml:space="preserve">Institute</w:t>
      </w:r>
    </w:p>
    <w:p>
      <w:pPr>
        <w:pStyle w:val="Date"/>
      </w:pPr>
      <w:r>
        <w:t xml:space="preserve">Master’s</w:t>
      </w:r>
      <w:r>
        <w:t xml:space="preserve"> </w:t>
      </w:r>
      <w:r>
        <w:t xml:space="preserve">research</w:t>
      </w:r>
      <w:r>
        <w:t xml:space="preserve"> </w:t>
      </w:r>
      <w:r>
        <w:t xml:space="preserve">project</w:t>
      </w:r>
      <w:r>
        <w:t xml:space="preserve"> </w:t>
      </w:r>
      <w:r>
        <w:t xml:space="preserve">—</w:t>
      </w:r>
      <w:r>
        <w:t xml:space="preserve"> </w:t>
      </w:r>
      <w:r>
        <w:t xml:space="preserve">outline</w:t>
      </w:r>
    </w:p>
    <w:bookmarkStart w:id="20" w:name="background-and-rationale"/>
    <w:p>
      <w:pPr>
        <w:pStyle w:val="Heading1"/>
      </w:pPr>
      <w:r>
        <w:t xml:space="preserve">1. Background and rationale</w:t>
      </w:r>
    </w:p>
    <w:p>
      <w:pPr>
        <w:pStyle w:val="FirstParagraph"/>
      </w:pPr>
      <w:r>
        <w:t xml:space="preserve">Fibrous dysplasia (FD) is a benign fibro-osseous condition caused by post-zygotic activating mutations of</w:t>
      </w:r>
      <w:r>
        <w:t xml:space="preserve"> </w:t>
      </w:r>
      <w:r>
        <w:rPr>
          <w:iCs/>
          <w:i/>
        </w:rPr>
        <w:t xml:space="preserve">GNAS</w:t>
      </w:r>
      <w:r>
        <w:t xml:space="preserve">, in which normal bone and marrow are progressively replaced by fibrous tissue and immature, poorly organised woven bone. Although the histopathology of established lesions is well described, the</w:t>
      </w:r>
      <w:r>
        <w:t xml:space="preserve"> </w:t>
      </w:r>
      <w:r>
        <w:rPr>
          <w:bCs/>
          <w:b/>
        </w:rPr>
        <w:t xml:space="preserve">dynamics of lesion progression</w:t>
      </w:r>
      <w:r>
        <w:t xml:space="preserve"> </w:t>
      </w:r>
      <w:r>
        <w:t xml:space="preserve">— and in particular what happens at the</w:t>
      </w:r>
      <w:r>
        <w:t xml:space="preserve"> </w:t>
      </w:r>
      <w:r>
        <w:rPr>
          <w:bCs/>
          <w:b/>
        </w:rPr>
        <w:t xml:space="preserve">margin</w:t>
      </w:r>
      <w:r>
        <w:t xml:space="preserve">, the interface between lesional tissue and the adjacent healthy or reactive bone — remain poorly characterised.</w:t>
      </w:r>
    </w:p>
    <w:p>
      <w:pPr>
        <w:pStyle w:val="BodyText"/>
      </w:pPr>
      <w:r>
        <w:rPr>
          <w:bCs/>
          <w:b/>
        </w:rPr>
        <w:t xml:space="preserve">The clinical problem is one of prediction.</w:t>
      </w:r>
      <w:r>
        <w:t xml:space="preserve"> </w:t>
      </w:r>
      <w:r>
        <w:t xml:space="preserve">The natural history of a fibrous dysplasia lesion is notoriously difficult to anticipate: it is very hard to know in advance whether a given lesion will keep expanding, when it will stabilise, and for how long a patient must be monitored. This uncertainty becomes critical when the lesion carries a functional risk — for example when it approaches the optic canal, where it may or may not become compressive of the optic nerve. In such situations the clinician cannot currently predict whether decompression will be needed, nor set a rational follow-up schedule, because the underlying growth dynamics are unknown.</w:t>
      </w:r>
      <w:r>
        <w:t xml:space="preserve"> </w:t>
      </w:r>
      <w:r>
        <w:rPr>
          <w:bCs/>
          <w:b/>
        </w:rPr>
        <w:t xml:space="preserve">Understanding these dynamics is therefore fundamental</w:t>
      </w:r>
      <w:r>
        <w:t xml:space="preserve">, both biologically and for day-to-day clinical decision-making.</w:t>
      </w:r>
    </w:p>
    <w:p>
      <w:pPr>
        <w:pStyle w:val="BodyText"/>
      </w:pPr>
      <w:r>
        <w:t xml:space="preserve">The advancing margin is where the biologically informative events take place: it is the region where cellular state, tissue architecture and mechanical/radiological signature change most rapidly. Characterising this front is the key to understanding — and eventually predicting — how FD lesions grow.</w:t>
      </w:r>
    </w:p>
    <w:p>
      <w:pPr>
        <w:pStyle w:val="BodyText"/>
      </w:pPr>
      <w:r>
        <w:t xml:space="preserve">This project aims to</w:t>
      </w:r>
      <w:r>
        <w:t xml:space="preserve"> </w:t>
      </w:r>
      <w:r>
        <w:rPr>
          <w:bCs/>
          <w:b/>
        </w:rPr>
        <w:t xml:space="preserve">study the progression margins of fibrous dysplasia by jointly interpreting structural (histological), radiological and molecular (transcriptomic) information</w:t>
      </w:r>
      <w:r>
        <w:t xml:space="preserve">, in order to make inferences about the dynamics of lesion progression. The approach is deliberately multi-scale and draws on recent physical-inference frameworks that combine transcriptomic state with cell shape to deduce tissue mechanics (see §5).</w:t>
      </w:r>
    </w:p>
    <w:bookmarkEnd w:id="20"/>
    <w:bookmarkStart w:id="21" w:name="overall-objective"/>
    <w:p>
      <w:pPr>
        <w:pStyle w:val="Heading1"/>
      </w:pPr>
      <w:r>
        <w:t xml:space="preserve">2. Overall objective</w:t>
      </w:r>
    </w:p>
    <w:p>
      <w:pPr>
        <w:pStyle w:val="FirstParagraph"/>
      </w:pPr>
      <w:r>
        <w:t xml:space="preserve">To characterise the progression margin of FD lesions and to build an integrated, spatially resolved picture linking</w:t>
      </w:r>
      <w:r>
        <w:t xml:space="preserve"> </w:t>
      </w:r>
      <w:r>
        <w:rPr>
          <w:bCs/>
          <w:b/>
        </w:rPr>
        <w:t xml:space="preserve">tissue architecture ↔ radiological appearance ↔ gene-expression state</w:t>
      </w:r>
      <w:r>
        <w:t xml:space="preserve">, so as to infer the physical and biological dynamics that drive lesion progression — and to lay the groundwork for predicting which lesions will progress and require closer surveillance.</w:t>
      </w:r>
    </w:p>
    <w:bookmarkEnd w:id="21"/>
    <w:bookmarkStart w:id="25" w:name="work-plan"/>
    <w:p>
      <w:pPr>
        <w:pStyle w:val="Heading1"/>
      </w:pPr>
      <w:r>
        <w:t xml:space="preserve">3. Work plan</w:t>
      </w:r>
    </w:p>
    <w:bookmarkStart w:id="22" w:name="X1e527e694472f2ddd28742487627424f580ed9e"/>
    <w:p>
      <w:pPr>
        <w:pStyle w:val="Heading2"/>
      </w:pPr>
      <w:r>
        <w:t xml:space="preserve">Step 1 — Literature and data review: what transcriptomic data exist, and are they margin-preserving?</w:t>
      </w:r>
    </w:p>
    <w:p>
      <w:pPr>
        <w:numPr>
          <w:ilvl w:val="0"/>
          <w:numId w:val="1001"/>
        </w:numPr>
        <w:pStyle w:val="Compact"/>
      </w:pPr>
      <w:r>
        <w:t xml:space="preserve">Carry out a</w:t>
      </w:r>
      <w:r>
        <w:t xml:space="preserve"> </w:t>
      </w:r>
      <w:r>
        <w:rPr>
          <w:bCs/>
          <w:b/>
        </w:rPr>
        <w:t xml:space="preserve">systematic bibliographic review</w:t>
      </w:r>
      <w:r>
        <w:t xml:space="preserve"> </w:t>
      </w:r>
      <w:r>
        <w:t xml:space="preserve">of the available transcriptomic datasets on fibrous dysplasia: bulk RNA-seq, single-cell / single-nucleus RNA-seq, and spatial transcriptomics.</w:t>
      </w:r>
    </w:p>
    <w:p>
      <w:pPr>
        <w:numPr>
          <w:ilvl w:val="0"/>
          <w:numId w:val="1001"/>
        </w:numPr>
        <w:pStyle w:val="Compact"/>
      </w:pPr>
      <w:r>
        <w:t xml:space="preserve">For each dataset, establish whether there is a</w:t>
      </w:r>
      <w:r>
        <w:t xml:space="preserve"> </w:t>
      </w:r>
      <w:r>
        <w:rPr>
          <w:bCs/>
          <w:b/>
        </w:rPr>
        <w:t xml:space="preserve">correspondence with histological data</w:t>
      </w:r>
      <w:r>
        <w:t xml:space="preserve">, and in particular whether the sampling captures the</w:t>
      </w:r>
      <w:r>
        <w:t xml:space="preserve"> </w:t>
      </w:r>
      <w:r>
        <w:rPr>
          <w:bCs/>
          <w:b/>
        </w:rPr>
        <w:t xml:space="preserve">margin of the lesion</w:t>
      </w:r>
      <w:r>
        <w:t xml:space="preserve"> </w:t>
      </w:r>
      <w:r>
        <w:t xml:space="preserve">(the interface between lesional and adjacent healthy/reactive bone).</w:t>
      </w:r>
    </w:p>
    <w:p>
      <w:pPr>
        <w:numPr>
          <w:ilvl w:val="0"/>
          <w:numId w:val="1001"/>
        </w:numPr>
        <w:pStyle w:val="Compact"/>
      </w:pPr>
      <w:r>
        <w:rPr>
          <w:bCs/>
          <w:b/>
        </w:rPr>
        <w:t xml:space="preserve">Critical verification:</w:t>
      </w:r>
      <w:r>
        <w:t xml:space="preserve"> </w:t>
      </w:r>
      <w:r>
        <w:t xml:space="preserve">determine whether the data are</w:t>
      </w:r>
      <w:r>
        <w:t xml:space="preserve"> </w:t>
      </w:r>
      <w:r>
        <w:rPr>
          <w:iCs/>
          <w:i/>
        </w:rPr>
        <w:t xml:space="preserve">spatially resolved</w:t>
      </w:r>
      <w:r>
        <w:t xml:space="preserve"> </w:t>
      </w:r>
      <w:r>
        <w:t xml:space="preserve">and preserve tissue context, or whether they were obtained from</w:t>
      </w:r>
      <w:r>
        <w:t xml:space="preserve"> </w:t>
      </w:r>
      <w:r>
        <w:rPr>
          <w:bCs/>
          <w:b/>
        </w:rPr>
        <w:t xml:space="preserve">dissociated / homogenised fragments</w:t>
      </w:r>
      <w:r>
        <w:t xml:space="preserve"> </w:t>
      </w:r>
      <w:r>
        <w:t xml:space="preserve">that destroy spatial information and lose the margin. Data derived from fragments cannot, on their own, support conclusions about progression dynamics at the front.</w:t>
      </w:r>
    </w:p>
    <w:p>
      <w:pPr>
        <w:pStyle w:val="FirstParagraph"/>
      </w:pPr>
      <w:r>
        <w:rPr>
          <w:bCs/>
          <w:b/>
        </w:rPr>
        <w:t xml:space="preserve">Deliverable:</w:t>
      </w:r>
      <w:r>
        <w:t xml:space="preserve"> </w:t>
      </w:r>
      <w:r>
        <w:t xml:space="preserve">a structured inventory table — dataset, platform/technology, tissue type, spatial resolution, whether the margin is sampled, presence of matched histology and/or radiology, sample size, and data accessibility.</w:t>
      </w:r>
    </w:p>
    <w:bookmarkEnd w:id="22"/>
    <w:bookmarkStart w:id="23" w:name="X565c60889febe22037beba01af06a2ef73b8301"/>
    <w:p>
      <w:pPr>
        <w:pStyle w:val="Heading2"/>
      </w:pPr>
      <w:r>
        <w:t xml:space="preserve">Step 2 — Integrative analysis: from structure + radiology + transcriptomics to progression dynamics</w:t>
      </w:r>
    </w:p>
    <w:p>
      <w:pPr>
        <w:numPr>
          <w:ilvl w:val="0"/>
          <w:numId w:val="1002"/>
        </w:numPr>
        <w:pStyle w:val="Compact"/>
      </w:pPr>
      <w:r>
        <w:t xml:space="preserve">Using</w:t>
      </w:r>
      <w:r>
        <w:t xml:space="preserve"> </w:t>
      </w:r>
      <w:r>
        <w:rPr>
          <w:bCs/>
          <w:b/>
        </w:rPr>
        <w:t xml:space="preserve">methods to be defined together with Matthieu Ricci and Elliott Pattou</w:t>
      </w:r>
      <w:r>
        <w:t xml:space="preserve"> </w:t>
      </w:r>
      <w:r>
        <w:t xml:space="preserve">(as part of Elliott’s master’s work), develop an analytical framework that jointly interprets:</w:t>
      </w:r>
    </w:p>
    <w:p>
      <w:pPr>
        <w:numPr>
          <w:ilvl w:val="1"/>
          <w:numId w:val="1003"/>
        </w:numPr>
        <w:pStyle w:val="Compact"/>
      </w:pPr>
      <w:r>
        <w:rPr>
          <w:bCs/>
          <w:b/>
        </w:rPr>
        <w:t xml:space="preserve">histological structure</w:t>
      </w:r>
      <w:r>
        <w:t xml:space="preserve"> </w:t>
      </w:r>
      <w:r>
        <w:t xml:space="preserve">(tissue architecture, cell morphology, degree of osseous maturation);</w:t>
      </w:r>
    </w:p>
    <w:p>
      <w:pPr>
        <w:numPr>
          <w:ilvl w:val="1"/>
          <w:numId w:val="1003"/>
        </w:numPr>
        <w:pStyle w:val="Compact"/>
      </w:pPr>
      <w:r>
        <w:rPr>
          <w:bCs/>
          <w:b/>
        </w:rPr>
        <w:t xml:space="preserve">radiological data</w:t>
      </w:r>
      <w:r>
        <w:t xml:space="preserve"> </w:t>
      </w:r>
      <w:r>
        <w:t xml:space="preserve">(lesion extent, density, evolution over time);</w:t>
      </w:r>
    </w:p>
    <w:p>
      <w:pPr>
        <w:numPr>
          <w:ilvl w:val="1"/>
          <w:numId w:val="1003"/>
        </w:numPr>
        <w:pStyle w:val="Compact"/>
      </w:pPr>
      <w:r>
        <w:rPr>
          <w:bCs/>
          <w:b/>
        </w:rPr>
        <w:t xml:space="preserve">transcriptomic data</w:t>
      </w:r>
      <w:r>
        <w:t xml:space="preserve"> </w:t>
      </w:r>
      <w:r>
        <w:t xml:space="preserve">(cellular states and their spatial distribution).</w:t>
      </w:r>
    </w:p>
    <w:p>
      <w:pPr>
        <w:numPr>
          <w:ilvl w:val="0"/>
          <w:numId w:val="1002"/>
        </w:numPr>
        <w:pStyle w:val="Compact"/>
      </w:pPr>
      <w:r>
        <w:rPr>
          <w:bCs/>
          <w:b/>
        </w:rPr>
        <w:t xml:space="preserve">Objective:</w:t>
      </w:r>
      <w:r>
        <w:t xml:space="preserve"> </w:t>
      </w:r>
      <w:r>
        <w:t xml:space="preserve">from this integration, deduce the</w:t>
      </w:r>
      <w:r>
        <w:t xml:space="preserve"> </w:t>
      </w:r>
      <w:r>
        <w:rPr>
          <w:bCs/>
          <w:b/>
        </w:rPr>
        <w:t xml:space="preserve">dynamics of lesion progression</w:t>
      </w:r>
      <w:r>
        <w:t xml:space="preserve"> </w:t>
      </w:r>
      <w:r>
        <w:t xml:space="preserve">— for example a gradient/zonation running from the active margin toward the lesion core, the correspondence between molecular state and tissue maturation, and how these relate to radiological progression.</w:t>
      </w:r>
    </w:p>
    <w:p>
      <w:pPr>
        <w:numPr>
          <w:ilvl w:val="0"/>
          <w:numId w:val="1002"/>
        </w:numPr>
        <w:pStyle w:val="Compact"/>
      </w:pPr>
      <w:r>
        <w:rPr>
          <w:bCs/>
          <w:b/>
        </w:rPr>
        <w:t xml:space="preserve">Methodological inspiration:</w:t>
      </w:r>
      <w:r>
        <w:t xml:space="preserve"> </w:t>
      </w:r>
      <w:r>
        <w:t xml:space="preserve">physical-inference approaches that combine transcriptomics and cell shape/morphology to infer tissue mechanics and growth dynamics — notably the spatial mechano-transcriptomics pipeline of Hallou</w:t>
      </w:r>
      <w:r>
        <w:t xml:space="preserve"> </w:t>
      </w:r>
      <w:r>
        <w:rPr>
          <w:iCs/>
          <w:i/>
        </w:rPr>
        <w:t xml:space="preserve">et al.</w:t>
      </w:r>
      <w:r>
        <w:t xml:space="preserve"> </w:t>
      </w:r>
      <w:r>
        <w:t xml:space="preserve">(Nature Methods, 2025), which infers per-cell mechanical forces from cell shape and correlates them with spatial gene expression (see §5).</w:t>
      </w:r>
    </w:p>
    <w:bookmarkEnd w:id="23"/>
    <w:bookmarkStart w:id="24" w:name="X452ceae649229cf32696763da1d20130e628342"/>
    <w:p>
      <w:pPr>
        <w:pStyle w:val="Heading2"/>
      </w:pPr>
      <w:r>
        <w:t xml:space="preserve">Step 3 — Contingency: prospective 3D acquisition if existing data are insufficient</w:t>
      </w:r>
    </w:p>
    <w:p>
      <w:pPr>
        <w:pStyle w:val="FirstParagraph"/>
      </w:pPr>
      <w:r>
        <w:t xml:space="preserve">If the literature does</w:t>
      </w:r>
      <w:r>
        <w:t xml:space="preserve"> </w:t>
      </w:r>
      <w:r>
        <w:rPr>
          <w:bCs/>
          <w:b/>
        </w:rPr>
        <w:t xml:space="preserve">not</w:t>
      </w:r>
      <w:r>
        <w:t xml:space="preserve"> </w:t>
      </w:r>
      <w:r>
        <w:t xml:space="preserve">provide adequate spatially resolved, margin-preserving data, then — within the scope of a master’s project — plan the</w:t>
      </w:r>
      <w:r>
        <w:t xml:space="preserve"> </w:t>
      </w:r>
      <w:r>
        <w:rPr>
          <w:bCs/>
          <w:b/>
        </w:rPr>
        <w:t xml:space="preserve">prospective acquisition</w:t>
      </w:r>
      <w:r>
        <w:t xml:space="preserve"> </w:t>
      </w:r>
      <w:r>
        <w:t xml:space="preserve">of such data:</w:t>
      </w:r>
    </w:p>
    <w:p>
      <w:pPr>
        <w:numPr>
          <w:ilvl w:val="0"/>
          <w:numId w:val="1004"/>
        </w:numPr>
        <w:pStyle w:val="Compact"/>
      </w:pPr>
      <w:r>
        <w:rPr>
          <w:bCs/>
          <w:b/>
        </w:rPr>
        <w:t xml:space="preserve">Three-dimensional acquisition</w:t>
      </w:r>
      <w:r>
        <w:t xml:space="preserve"> </w:t>
      </w:r>
      <w:r>
        <w:t xml:space="preserve">of a tissue block harvested intraoperatively at</w:t>
      </w:r>
      <w:r>
        <w:t xml:space="preserve"> </w:t>
      </w:r>
      <w:r>
        <w:rPr>
          <w:bCs/>
          <w:b/>
        </w:rPr>
        <w:t xml:space="preserve">Necker–Enfants Malades hospital</w:t>
      </w:r>
      <w:r>
        <w:t xml:space="preserve">, on which the combined histological / radiological / transcriptomic analyses can be performed while</w:t>
      </w:r>
      <w:r>
        <w:t xml:space="preserve"> </w:t>
      </w:r>
      <w:r>
        <w:rPr>
          <w:bCs/>
          <w:b/>
        </w:rPr>
        <w:t xml:space="preserve">preserving the 3D spatial context and the lesion margin</w:t>
      </w:r>
      <w:r>
        <w:t xml:space="preserve">.</w:t>
      </w:r>
    </w:p>
    <w:p>
      <w:pPr>
        <w:numPr>
          <w:ilvl w:val="0"/>
          <w:numId w:val="1004"/>
        </w:numPr>
        <w:pStyle w:val="Compact"/>
      </w:pPr>
      <w:r>
        <w:t xml:space="preserve">This design is in the same spirit as the</w:t>
      </w:r>
      <w:r>
        <w:t xml:space="preserve"> </w:t>
      </w:r>
      <w:r>
        <w:rPr>
          <w:bCs/>
          <w:b/>
        </w:rPr>
        <w:t xml:space="preserve">synchondroses project</w:t>
      </w:r>
      <w:r>
        <w:t xml:space="preserve"> </w:t>
      </w:r>
      <w:r>
        <w:t xml:space="preserve">developed in the continuation of Kogane’s doctoral thesis, and as the</w:t>
      </w:r>
      <w:r>
        <w:t xml:space="preserve"> </w:t>
      </w:r>
      <w:r>
        <w:rPr>
          <w:bCs/>
          <w:b/>
        </w:rPr>
        <w:t xml:space="preserve">physical inferences</w:t>
      </w:r>
      <w:r>
        <w:t xml:space="preserve"> </w:t>
      </w:r>
      <w:r>
        <w:t xml:space="preserve">that can be drawn jointly from</w:t>
      </w:r>
      <w:r>
        <w:t xml:space="preserve"> </w:t>
      </w:r>
      <w:r>
        <w:rPr>
          <w:bCs/>
          <w:b/>
        </w:rPr>
        <w:t xml:space="preserve">transcriptomics and cell shape</w:t>
      </w:r>
      <w:r>
        <w:t xml:space="preserve">, following Hallou</w:t>
      </w:r>
      <w:r>
        <w:t xml:space="preserve"> </w:t>
      </w:r>
      <w:r>
        <w:rPr>
          <w:iCs/>
          <w:i/>
        </w:rPr>
        <w:t xml:space="preserve">et al.</w:t>
      </w:r>
      <w:r>
        <w:t xml:space="preserve"> </w:t>
      </w:r>
      <w:r>
        <w:t xml:space="preserve">(see §5).</w:t>
      </w:r>
    </w:p>
    <w:bookmarkEnd w:id="24"/>
    <w:bookmarkEnd w:id="25"/>
    <w:bookmarkStart w:id="26" w:name="collaborations-and-setting"/>
    <w:p>
      <w:pPr>
        <w:pStyle w:val="Heading1"/>
      </w:pPr>
      <w:r>
        <w:t xml:space="preserve">4. Collaborations and setting</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Partner</w:t>
            </w:r>
          </w:p>
        </w:tc>
        <w:tc>
          <w:tcPr/>
          <w:p>
            <w:pPr>
              <w:pStyle w:val="Compact"/>
              <w:jc w:val="left"/>
            </w:pPr>
            <w:r>
              <w:t xml:space="preserve">Role in the project</w:t>
            </w:r>
          </w:p>
        </w:tc>
      </w:tr>
      <w:tr>
        <w:tc>
          <w:tcPr/>
          <w:p>
            <w:pPr>
              <w:pStyle w:val="Compact"/>
              <w:jc w:val="left"/>
            </w:pPr>
            <w:r>
              <w:rPr>
                <w:bCs/>
                <w:b/>
              </w:rPr>
              <w:t xml:space="preserve">Matthieu Ricci · Elliott Pattou</w:t>
            </w:r>
          </w:p>
        </w:tc>
        <w:tc>
          <w:tcPr/>
          <w:p>
            <w:pPr>
              <w:pStyle w:val="Compact"/>
              <w:jc w:val="left"/>
            </w:pPr>
            <w:r>
              <w:t xml:space="preserve">Methodological development for the integrative analysis (Step 2).</w:t>
            </w:r>
          </w:p>
        </w:tc>
      </w:tr>
      <w:tr>
        <w:tc>
          <w:tcPr/>
          <w:p>
            <w:pPr>
              <w:pStyle w:val="Compact"/>
              <w:jc w:val="left"/>
            </w:pPr>
            <w:r>
              <w:rPr>
                <w:bCs/>
                <w:b/>
              </w:rPr>
              <w:t xml:space="preserve">Politecnico di Torino</w:t>
            </w:r>
            <w:r>
              <w:t xml:space="preserve"> </w:t>
            </w:r>
            <w:r>
              <w:t xml:space="preserve">— Department of Mathematical Sciences</w:t>
            </w:r>
            <w:r>
              <w:t xml:space="preserve"> </w:t>
            </w:r>
            <w:r>
              <w:t xml:space="preserve">“</w:t>
            </w:r>
            <w:r>
              <w:t xml:space="preserve">G. L. Lagrange</w:t>
            </w:r>
            <w:r>
              <w:t xml:space="preserve">”</w:t>
            </w:r>
            <w:r>
              <w:t xml:space="preserve"> </w:t>
            </w:r>
            <w:r>
              <w:t xml:space="preserve">(host laboratory of Elliott Pattou’s master; group of L. Preziosi, specialised in the mathematical modelling of tumour growth)</w:t>
            </w:r>
          </w:p>
        </w:tc>
        <w:tc>
          <w:tcPr/>
          <w:p>
            <w:pPr>
              <w:pStyle w:val="Compact"/>
              <w:jc w:val="left"/>
            </w:pPr>
            <w:r>
              <w:t xml:space="preserve">Modelling of lesion / growth dynamics.</w:t>
            </w:r>
          </w:p>
        </w:tc>
      </w:tr>
      <w:tr>
        <w:tc>
          <w:tcPr/>
          <w:p>
            <w:pPr>
              <w:pStyle w:val="Compact"/>
              <w:jc w:val="left"/>
            </w:pPr>
            <w:r>
              <w:rPr>
                <w:bCs/>
                <w:b/>
              </w:rPr>
              <w:t xml:space="preserve">Necker–Enfants Malades hospital</w:t>
            </w:r>
          </w:p>
        </w:tc>
        <w:tc>
          <w:tcPr/>
          <w:p>
            <w:pPr>
              <w:pStyle w:val="Compact"/>
              <w:jc w:val="left"/>
            </w:pPr>
            <w:r>
              <w:t xml:space="preserve">Intraoperative tissue sampling of the FD block for prospective 3D acquisition (Step 3).</w:t>
            </w:r>
          </w:p>
        </w:tc>
      </w:tr>
      <w:tr>
        <w:tc>
          <w:tcPr/>
          <w:p>
            <w:pPr>
              <w:pStyle w:val="Compact"/>
              <w:jc w:val="left"/>
            </w:pPr>
            <w:r>
              <w:rPr>
                <w:bCs/>
                <w:b/>
              </w:rPr>
              <w:t xml:space="preserve">Laboratory</w:t>
            </w:r>
            <w:r>
              <w:rPr>
                <w:bCs/>
                <w:b/>
              </w:rPr>
              <w:t xml:space="preserve"> </w:t>
            </w:r>
            <w:r>
              <w:rPr>
                <w:bCs/>
                <w:b/>
              </w:rPr>
              <w:t xml:space="preserve">“</w:t>
            </w:r>
            <w:r>
              <w:rPr>
                <w:bCs/>
                <w:b/>
              </w:rPr>
              <w:t xml:space="preserve">Form and Growth of the Skull</w:t>
            </w:r>
            <w:r>
              <w:rPr>
                <w:bCs/>
                <w:b/>
              </w:rPr>
              <w:t xml:space="preserve">”</w:t>
            </w:r>
            <w:r>
              <w:t xml:space="preserve"> </w:t>
            </w:r>
            <w:r>
              <w:t xml:space="preserve">(Necker / Imagine Institute)</w:t>
            </w:r>
          </w:p>
        </w:tc>
        <w:tc>
          <w:tcPr/>
          <w:p>
            <w:pPr>
              <w:pStyle w:val="Compact"/>
              <w:jc w:val="left"/>
            </w:pPr>
            <w:r>
              <w:t xml:space="preserve">Host laboratory; histology, imaging and integration.</w:t>
            </w:r>
          </w:p>
        </w:tc>
      </w:tr>
    </w:tbl>
    <w:bookmarkEnd w:id="26"/>
    <w:bookmarkStart w:id="27" w:name="key-references"/>
    <w:p>
      <w:pPr>
        <w:pStyle w:val="Heading1"/>
      </w:pPr>
      <w:r>
        <w:t xml:space="preserve">5. Key references</w:t>
      </w:r>
    </w:p>
    <w:p>
      <w:pPr>
        <w:numPr>
          <w:ilvl w:val="0"/>
          <w:numId w:val="1005"/>
        </w:numPr>
        <w:pStyle w:val="Compact"/>
      </w:pPr>
      <w:r>
        <w:rPr>
          <w:bCs/>
          <w:b/>
        </w:rPr>
        <w:t xml:space="preserve">Hallou A, et al.</w:t>
      </w:r>
      <w:r>
        <w:t xml:space="preserve"> </w:t>
      </w:r>
      <w:r>
        <w:rPr>
          <w:iCs/>
          <w:i/>
        </w:rPr>
        <w:t xml:space="preserve">A computational pipeline for spatial mechano-transcriptomics.</w:t>
      </w:r>
      <w:r>
        <w:t xml:space="preserve"> </w:t>
      </w:r>
      <w:r>
        <w:rPr>
          <w:bCs/>
          <w:b/>
        </w:rPr>
        <w:t xml:space="preserve">Nature Methods</w:t>
      </w:r>
      <w:r>
        <w:t xml:space="preserve">, 2025. doi:10.1038/s41592-025-02618-1. — Infers per-cell mechanical forces from cell shape and integrates them with image-based spatial transcriptomics to link molecular programmes with the physical forces shaping tissues. (Lay summary: RNA-Seq Blog / University of Oxford,</w:t>
      </w:r>
      <w:r>
        <w:t xml:space="preserve"> </w:t>
      </w:r>
      <w:r>
        <w:t xml:space="preserve">“</w:t>
      </w:r>
      <w:r>
        <w:t xml:space="preserve">Decoding the interplay between genes and mechanics in tissues at single-cell resolution</w:t>
      </w:r>
      <w:r>
        <w:t xml:space="preserve">”</w:t>
      </w:r>
      <w:r>
        <w:t xml:space="preserve">, 2025.)</w:t>
      </w:r>
    </w:p>
    <w:p>
      <w:pPr>
        <w:numPr>
          <w:ilvl w:val="0"/>
          <w:numId w:val="1005"/>
        </w:numPr>
        <w:pStyle w:val="Compact"/>
      </w:pPr>
      <w:r>
        <w:rPr>
          <w:bCs/>
          <w:b/>
        </w:rPr>
        <w:t xml:space="preserve">Preziosi L, Toscani G, Zanella M.</w:t>
      </w:r>
      <w:r>
        <w:t xml:space="preserve"> </w:t>
      </w:r>
      <w:r>
        <w:rPr>
          <w:iCs/>
          <w:i/>
        </w:rPr>
        <w:t xml:space="preserve">Control of tumour growth distributions through kinetic methods.</w:t>
      </w:r>
      <w:r>
        <w:t xml:space="preserve"> </w:t>
      </w:r>
      <w:r>
        <w:rPr>
          <w:bCs/>
          <w:b/>
        </w:rPr>
        <w:t xml:space="preserve">Journal of Theoretical Biology</w:t>
      </w:r>
      <w:r>
        <w:t xml:space="preserve">, 2021 (preprint arXiv:2006.06249). — Representative work of the tumour-growth-modelling group at the Department of Mathematical Sciences</w:t>
      </w:r>
      <w:r>
        <w:t xml:space="preserve"> </w:t>
      </w:r>
      <w:r>
        <w:t xml:space="preserve">“</w:t>
      </w:r>
      <w:r>
        <w:t xml:space="preserve">G. L. Lagrange</w:t>
      </w:r>
      <w:r>
        <w:t xml:space="preserve">”</w:t>
      </w:r>
      <w:r>
        <w:t xml:space="preserve">, Politecnico di Torino (Elliott Pattou’s host laboratory).</w:t>
      </w:r>
    </w:p>
    <w:p>
      <w:pPr>
        <w:numPr>
          <w:ilvl w:val="0"/>
          <w:numId w:val="1005"/>
        </w:numPr>
        <w:pStyle w:val="Compact"/>
      </w:pPr>
      <w:r>
        <w:t xml:space="preserve">Foundational histopathology and biology of fibrous dysplasia (e.g. the work of</w:t>
      </w:r>
      <w:r>
        <w:t xml:space="preserve"> </w:t>
      </w:r>
      <w:r>
        <w:rPr>
          <w:bCs/>
          <w:b/>
        </w:rPr>
        <w:t xml:space="preserve">Bianco, Riminucci &amp; Robey</w:t>
      </w:r>
      <w:r>
        <w:t xml:space="preserve"> </w:t>
      </w:r>
      <w:r>
        <w:t xml:space="preserve">on</w:t>
      </w:r>
      <w:r>
        <w:t xml:space="preserve"> </w:t>
      </w:r>
      <w:r>
        <w:rPr>
          <w:iCs/>
          <w:i/>
        </w:rPr>
        <w:t xml:space="preserve">GNAS</w:t>
      </w:r>
      <w:r>
        <w:t xml:space="preserve">-driven FD) for the structural/biological framework.</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 — Progression Margins of Fibrous Dysplasia</dc:title>
  <dc:creator>Student: Julia · Laboratory ‘Form and Growth of the Skull’, Necker–Enfants Malades / Imagine Institute</dc:creator>
  <cp:keywords/>
  <dcterms:created xsi:type="dcterms:W3CDTF">2026-08-31T12:51:09Z</dcterms:created>
  <dcterms:modified xsi:type="dcterms:W3CDTF">2026-08-31T12:51:09Z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Master’s research project — outline</vt:lpwstr>
  </property>
  <property fmtid="{D5CDD505-2E9C-101B-9397-08002B2CF9AE}" pid="3" name="subtitle">
    <vt:lpwstr>An integrated histological, radiological and transcriptomic study of lesion growth dynamics</vt:lpwstr>
  </property>
</Properties>
</file>