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research-work-plan-sofia"/>
    <w:p>
      <w:pPr>
        <w:pStyle w:val="Heading1"/>
      </w:pPr>
      <w:r>
        <w:t xml:space="preserve">Research Work Plan — Sofia</w:t>
      </w:r>
    </w:p>
    <w:p>
      <w:pPr>
        <w:pStyle w:val="FirstParagraph"/>
      </w:pPr>
      <w:r>
        <w:rPr>
          <w:bCs/>
          <w:b/>
        </w:rPr>
        <w:t xml:space="preserve">Student:</w:t>
      </w:r>
      <w:r>
        <w:t xml:space="preserve"> </w:t>
      </w:r>
      <w:r>
        <w:t xml:space="preserve">Sofia — supervised by Tatiana Pavlychuk (Kyiv)</w:t>
      </w:r>
      <w:r>
        <w:t xml:space="preserve"> </w:t>
      </w:r>
      <w:r>
        <w:rPr>
          <w:bCs/>
          <w:b/>
        </w:rPr>
        <w:t xml:space="preserve">Collaboration:</w:t>
      </w:r>
      <w:r>
        <w:t xml:space="preserve"> </w:t>
      </w:r>
      <w:r>
        <w:t xml:space="preserve">Craniofacial Surgery Unit, Necker – Enfants Malades Hospital, AP-HP /</w:t>
      </w:r>
      <w:r>
        <w:t xml:space="preserve"> </w:t>
      </w:r>
      <w:r>
        <w:t xml:space="preserve">“</w:t>
      </w:r>
      <w:r>
        <w:t xml:space="preserve">Craniofacial Growth and Form</w:t>
      </w:r>
      <w:r>
        <w:t xml:space="preserve">”</w:t>
      </w:r>
      <w:r>
        <w:t xml:space="preserve"> </w:t>
      </w:r>
      <w:r>
        <w:t xml:space="preserve">Laboratory, Imagine Institute, Université Paris Cité (Prof. Roman Hossein Khonsari) — in partnership with OHMATDYT National Children’s Specialised Hospital and Bogomolets National Medical University, Kyiv.</w:t>
      </w:r>
    </w:p>
    <w:p>
      <w:r>
        <w:pict>
          <v:rect style="width:0;height:1.5pt" o:hralign="center" o:hrstd="t" o:hr="t"/>
        </w:pict>
      </w:r>
    </w:p>
    <w:bookmarkStart w:id="20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Sofia will contribute to the ongoing France–Ukraine craniofacial collaboration through</w:t>
      </w:r>
      <w:r>
        <w:t xml:space="preserve"> </w:t>
      </w:r>
      <w:r>
        <w:rPr>
          <w:bCs/>
          <w:b/>
        </w:rPr>
        <w:t xml:space="preserve">two structured projects</w:t>
      </w:r>
      <w:r>
        <w:t xml:space="preserve">, followed by a possible later involvement in a laboratory project. Both projects rely on careful, standardised data collection, strict respect for patient confidentiality, and a clear publication output.</w:t>
      </w:r>
    </w:p>
    <w:p>
      <w:pPr>
        <w:pStyle w:val="BodyText"/>
      </w:pPr>
      <w:r>
        <w:t xml:space="preserve">The two projects can be run in parallel. Project 1 is prospective (new acquisitions); Project 2 is retrospective (assembling existing clinical data).</w:t>
      </w:r>
    </w:p>
    <w:p>
      <w:r>
        <w:pict>
          <v:rect style="width:0;height:1.5pt" o:hralign="center" o:hrstd="t" o:hr="t"/>
        </w:pict>
      </w:r>
    </w:p>
    <w:bookmarkEnd w:id="20"/>
    <w:bookmarkStart w:id="21" w:name="X3ab5cbc54daaeb9a47547688ba7bbb1452ec18a"/>
    <w:p>
      <w:pPr>
        <w:pStyle w:val="Heading2"/>
      </w:pPr>
      <w:r>
        <w:t xml:space="preserve">Project 1 — FaceWorld: continuation of the portrait study</w:t>
      </w:r>
    </w:p>
    <w:p>
      <w:pPr>
        <w:pStyle w:val="FirstParagraph"/>
      </w:pPr>
      <w:r>
        <w:rPr>
          <w:bCs/>
          <w:b/>
        </w:rPr>
        <w:t xml:space="preserve">Aim.</w:t>
      </w:r>
      <w:r>
        <w:t xml:space="preserve"> </w:t>
      </w:r>
      <w:r>
        <w:t xml:space="preserve">Continue the</w:t>
      </w:r>
      <w:r>
        <w:t xml:space="preserve"> </w:t>
      </w:r>
      <w:r>
        <w:rPr>
          <w:iCs/>
          <w:i/>
        </w:rPr>
        <w:t xml:space="preserve">FaceWorld</w:t>
      </w:r>
      <w:r>
        <w:t xml:space="preserve"> </w:t>
      </w:r>
      <w:r>
        <w:t xml:space="preserve">project by prospectively including two matched groups of children and collecting, for each child, a standardised baseline photograph,</w:t>
      </w:r>
      <w:r>
        <w:t xml:space="preserve"> </w:t>
      </w:r>
      <w:r>
        <w:rPr>
          <w:bCs/>
          <w:b/>
        </w:rPr>
        <w:t xml:space="preserve">all the self-portraits produced by the child</w:t>
      </w:r>
      <w:r>
        <w:t xml:space="preserve">, and minimal metadata, according to the protocol already in place.</w:t>
      </w:r>
    </w:p>
    <w:p>
      <w:pPr>
        <w:pStyle w:val="BodyText"/>
      </w:pPr>
      <w:r>
        <w:rPr>
          <w:bCs/>
          <w:b/>
        </w:rPr>
        <w:t xml:space="preserve">Study population (initial target).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Patient group:</w:t>
      </w:r>
      <w:r>
        <w:t xml:space="preserve"> </w:t>
      </w:r>
      <w:r>
        <w:t xml:space="preserve">10 children with facial malformations, recruited at OHMATDYT (Kyiv).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Control group:</w:t>
      </w:r>
      <w:r>
        <w:t xml:space="preserve"> </w:t>
      </w:r>
      <w:r>
        <w:t xml:space="preserve">10 unaffected children from a school in Kyiv.</w:t>
      </w:r>
    </w:p>
    <w:p>
      <w:pPr>
        <w:numPr>
          <w:ilvl w:val="0"/>
          <w:numId w:val="1001"/>
        </w:numPr>
        <w:pStyle w:val="Compact"/>
      </w:pPr>
      <w:r>
        <w:t xml:space="preserve">Begin with</w:t>
      </w:r>
      <w:r>
        <w:t xml:space="preserve"> </w:t>
      </w:r>
      <w:r>
        <w:rPr>
          <w:bCs/>
          <w:b/>
        </w:rPr>
        <w:t xml:space="preserve">10 + 10</w:t>
      </w:r>
      <w:r>
        <w:t xml:space="preserve">; extend the recruitment where possible, the ideal being</w:t>
      </w:r>
      <w:r>
        <w:t xml:space="preserve"> </w:t>
      </w:r>
      <w:r>
        <w:rPr>
          <w:bCs/>
          <w:b/>
        </w:rPr>
        <w:t xml:space="preserve">two groups of 20</w:t>
      </w:r>
      <w:r>
        <w:t xml:space="preserve">.</w:t>
      </w:r>
    </w:p>
    <w:p>
      <w:pPr>
        <w:pStyle w:val="FirstParagraph"/>
      </w:pPr>
      <w:r>
        <w:rPr>
          <w:bCs/>
          <w:b/>
        </w:rPr>
        <w:t xml:space="preserve">Acquisition protocol (≈ 1 hour per child).</w:t>
      </w:r>
    </w:p>
    <w:p>
      <w:pPr>
        <w:numPr>
          <w:ilvl w:val="0"/>
          <w:numId w:val="1002"/>
        </w:numPr>
        <w:pStyle w:val="Compact"/>
      </w:pPr>
      <w:r>
        <w:t xml:space="preserve">Standardised</w:t>
      </w:r>
      <w:r>
        <w:t xml:space="preserve"> </w:t>
      </w:r>
      <w:r>
        <w:rPr>
          <w:bCs/>
          <w:b/>
        </w:rPr>
        <w:t xml:space="preserve">initial (baseline) photograph</w:t>
      </w:r>
      <w:r>
        <w:t xml:space="preserve">, following the established FaceWorld acquisition protocol.</w:t>
      </w:r>
    </w:p>
    <w:p>
      <w:pPr>
        <w:numPr>
          <w:ilvl w:val="0"/>
          <w:numId w:val="1002"/>
        </w:numPr>
        <w:pStyle w:val="Compact"/>
      </w:pPr>
      <w:r>
        <w:t xml:space="preserve">Collection of</w:t>
      </w:r>
      <w:r>
        <w:t xml:space="preserve"> </w:t>
      </w:r>
      <w:r>
        <w:rPr>
          <w:bCs/>
          <w:b/>
        </w:rPr>
        <w:t xml:space="preserve">all portraits drawn/produced by the child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Recording of the associated</w:t>
      </w:r>
      <w:r>
        <w:t xml:space="preserve"> </w:t>
      </w:r>
      <w:r>
        <w:rPr>
          <w:bCs/>
          <w:b/>
        </w:rPr>
        <w:t xml:space="preserve">metadata</w:t>
      </w:r>
      <w:r>
        <w:t xml:space="preserve">.</w:t>
      </w:r>
    </w:p>
    <w:p>
      <w:pPr>
        <w:pStyle w:val="FirstParagraph"/>
      </w:pPr>
      <w:r>
        <w:rPr>
          <w:bCs/>
          <w:b/>
        </w:rPr>
        <w:t xml:space="preserve">Minimal data collected per child.</w:t>
      </w:r>
      <w:r>
        <w:t xml:space="preserve"> </w:t>
      </w:r>
      <w:r>
        <w:t xml:space="preserve">First name, date of birth, and — for patients only —</w:t>
      </w:r>
      <w:r>
        <w:t xml:space="preserve"> </w:t>
      </w:r>
      <w:r>
        <w:rPr>
          <w:bCs/>
          <w:b/>
        </w:rPr>
        <w:t xml:space="preserve">a few words on the diagnosis</w:t>
      </w:r>
      <w:r>
        <w:t xml:space="preserve">. No other identifying information is collected.</w:t>
      </w:r>
    </w:p>
    <w:p>
      <w:pPr>
        <w:pStyle w:val="BodyText"/>
      </w:pPr>
      <w:r>
        <w:rPr>
          <w:bCs/>
          <w:b/>
        </w:rPr>
        <w:t xml:space="preserve">Data management.</w:t>
      </w:r>
      <w:r>
        <w:t xml:space="preserve"> </w:t>
      </w:r>
      <w:r>
        <w:t xml:space="preserve">All photographs, portraits and metadata are uploaded to a</w:t>
      </w:r>
      <w:r>
        <w:t xml:space="preserve"> </w:t>
      </w:r>
      <w:r>
        <w:rPr>
          <w:bCs/>
          <w:b/>
        </w:rPr>
        <w:t xml:space="preserve">dedicated Google Drive folder</w:t>
      </w:r>
      <w:r>
        <w:t xml:space="preserve"> </w:t>
      </w:r>
      <w:r>
        <w:t xml:space="preserve">created for the project, with</w:t>
      </w:r>
      <w:r>
        <w:t xml:space="preserve"> </w:t>
      </w:r>
      <w:r>
        <w:rPr>
          <w:bCs/>
          <w:b/>
        </w:rPr>
        <w:t xml:space="preserve">one subfolder per child</w:t>
      </w:r>
      <w:r>
        <w:t xml:space="preserve"> </w:t>
      </w:r>
      <w:r>
        <w:t xml:space="preserve">and consistent, pseudonymised naming.</w:t>
      </w:r>
    </w:p>
    <w:p>
      <w:pPr>
        <w:pStyle w:val="BodyText"/>
      </w:pPr>
      <w:r>
        <w:rPr>
          <w:bCs/>
          <w:b/>
        </w:rPr>
        <w:t xml:space="preserve">Deliverable.</w:t>
      </w:r>
      <w:r>
        <w:t xml:space="preserve"> </w:t>
      </w:r>
      <w:r>
        <w:t xml:space="preserve">A complete, curated FaceWorld dataset (two groups) ready for analysis.</w:t>
      </w:r>
    </w:p>
    <w:p>
      <w:r>
        <w:pict>
          <v:rect style="width:0;height:1.5pt" o:hralign="center" o:hrstd="t" o:hr="t"/>
        </w:pict>
      </w:r>
    </w:p>
    <w:bookmarkEnd w:id="21"/>
    <w:bookmarkStart w:id="22" w:name="X7c5f61ee9bb5e2a96eace0dddcf9dad77075cfe"/>
    <w:p>
      <w:pPr>
        <w:pStyle w:val="Heading2"/>
      </w:pPr>
      <w:r>
        <w:t xml:space="preserve">Project 2 — Craniofacial missions: clinical dataset and publications</w:t>
      </w:r>
    </w:p>
    <w:p>
      <w:pPr>
        <w:pStyle w:val="FirstParagraph"/>
      </w:pPr>
      <w:r>
        <w:rPr>
          <w:bCs/>
          <w:b/>
        </w:rPr>
        <w:t xml:space="preserve">Aim.</w:t>
      </w:r>
      <w:r>
        <w:t xml:space="preserve"> </w:t>
      </w:r>
      <w:r>
        <w:t xml:space="preserve">Assemble the</w:t>
      </w:r>
      <w:r>
        <w:t xml:space="preserve"> </w:t>
      </w:r>
      <w:r>
        <w:rPr>
          <w:bCs/>
          <w:b/>
        </w:rPr>
        <w:t xml:space="preserve">complete clinical dataset</w:t>
      </w:r>
      <w:r>
        <w:t xml:space="preserve"> </w:t>
      </w:r>
      <w:r>
        <w:t xml:space="preserve">of all patients operated during our craniofacial surgical missions, to support a publication summarising the craniofacial surgery performed in Ukraine — in direct continuity with the first article on the fronto-facial monobloc advancement performed in Ukraine.</w:t>
      </w:r>
    </w:p>
    <w:p>
      <w:pPr>
        <w:pStyle w:val="BodyText"/>
      </w:pPr>
      <w:r>
        <w:rPr>
          <w:bCs/>
          <w:b/>
        </w:rPr>
        <w:t xml:space="preserve">Data to collect for each operated patient.</w:t>
      </w:r>
    </w:p>
    <w:p>
      <w:pPr>
        <w:numPr>
          <w:ilvl w:val="0"/>
          <w:numId w:val="1003"/>
        </w:numPr>
        <w:pStyle w:val="Compact"/>
      </w:pPr>
      <w:r>
        <w:t xml:space="preserve">Preoperative</w:t>
      </w:r>
      <w:r>
        <w:t xml:space="preserve"> </w:t>
      </w:r>
      <w:r>
        <w:rPr>
          <w:bCs/>
          <w:b/>
        </w:rPr>
        <w:t xml:space="preserve">photographs</w:t>
      </w:r>
    </w:p>
    <w:p>
      <w:pPr>
        <w:numPr>
          <w:ilvl w:val="0"/>
          <w:numId w:val="1003"/>
        </w:numPr>
        <w:pStyle w:val="Compact"/>
      </w:pPr>
      <w:r>
        <w:t xml:space="preserve">Preoperative</w:t>
      </w:r>
      <w:r>
        <w:t xml:space="preserve"> </w:t>
      </w:r>
      <w:r>
        <w:rPr>
          <w:bCs/>
          <w:b/>
        </w:rPr>
        <w:t xml:space="preserve">CT scan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Operative report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Follow-up</w:t>
      </w:r>
      <w:r>
        <w:t xml:space="preserve"> </w:t>
      </w:r>
      <w:r>
        <w:t xml:space="preserve">data</w:t>
      </w:r>
    </w:p>
    <w:p>
      <w:pPr>
        <w:numPr>
          <w:ilvl w:val="0"/>
          <w:numId w:val="1003"/>
        </w:numPr>
        <w:pStyle w:val="Compact"/>
      </w:pPr>
      <w:r>
        <w:t xml:space="preserve">Postoperative</w:t>
      </w:r>
      <w:r>
        <w:t xml:space="preserve"> </w:t>
      </w:r>
      <w:r>
        <w:rPr>
          <w:bCs/>
          <w:b/>
        </w:rPr>
        <w:t xml:space="preserve">photographs</w:t>
      </w:r>
    </w:p>
    <w:p>
      <w:pPr>
        <w:numPr>
          <w:ilvl w:val="0"/>
          <w:numId w:val="1003"/>
        </w:numPr>
        <w:pStyle w:val="Compact"/>
      </w:pPr>
      <w:r>
        <w:t xml:space="preserve">Postoperative</w:t>
      </w:r>
      <w:r>
        <w:t xml:space="preserve"> </w:t>
      </w:r>
      <w:r>
        <w:rPr>
          <w:bCs/>
          <w:b/>
        </w:rPr>
        <w:t xml:space="preserve">investigations</w:t>
      </w:r>
      <w:r>
        <w:t xml:space="preserve"> </w:t>
      </w:r>
      <w:r>
        <w:t xml:space="preserve">(various)</w:t>
      </w:r>
    </w:p>
    <w:p>
      <w:pPr>
        <w:numPr>
          <w:ilvl w:val="0"/>
          <w:numId w:val="1003"/>
        </w:numPr>
        <w:pStyle w:val="Compact"/>
      </w:pPr>
      <w:r>
        <w:t xml:space="preserve">A</w:t>
      </w:r>
      <w:r>
        <w:t xml:space="preserve"> </w:t>
      </w:r>
      <w:r>
        <w:rPr>
          <w:bCs/>
          <w:b/>
        </w:rPr>
        <w:t xml:space="preserve">report on any complications</w:t>
      </w:r>
      <w:r>
        <w:t xml:space="preserve"> </w:t>
      </w:r>
      <w:r>
        <w:t xml:space="preserve">that may have occurred</w:t>
      </w:r>
    </w:p>
    <w:p>
      <w:pPr>
        <w:pStyle w:val="FirstParagraph"/>
      </w:pPr>
      <w:r>
        <w:rPr>
          <w:bCs/>
          <w:b/>
        </w:rPr>
        <w:t xml:space="preserve">Workflow.</w:t>
      </w:r>
      <w:r>
        <w:t xml:space="preserve"> </w:t>
      </w:r>
      <w:r>
        <w:t xml:space="preserve">Compile and organise the dataset in a</w:t>
      </w:r>
      <w:r>
        <w:t xml:space="preserve"> </w:t>
      </w:r>
      <w:r>
        <w:rPr>
          <w:bCs/>
          <w:b/>
        </w:rPr>
        <w:t xml:space="preserve">dedicated, pseudonymised Google Drive folder</w:t>
      </w:r>
      <w:r>
        <w:t xml:space="preserve"> </w:t>
      </w:r>
      <w:r>
        <w:t xml:space="preserve">(one subfolder per patient) →</w:t>
      </w:r>
      <w:r>
        <w:t xml:space="preserve"> </w:t>
      </w:r>
      <w:r>
        <w:rPr>
          <w:bCs/>
          <w:b/>
        </w:rPr>
        <w:t xml:space="preserve">transmit the complete dataset to Elliot Pattou</w:t>
      </w:r>
      <w:r>
        <w:t xml:space="preserve"> </w:t>
      </w:r>
      <w:r>
        <w:t xml:space="preserve">for manuscript preparation.</w:t>
      </w:r>
    </w:p>
    <w:p>
      <w:pPr>
        <w:pStyle w:val="BodyText"/>
      </w:pPr>
      <w:r>
        <w:rPr>
          <w:bCs/>
          <w:b/>
        </w:rPr>
        <w:t xml:space="preserve">Planned publications (details to be finalised).</w:t>
      </w:r>
    </w:p>
    <w:p>
      <w:pPr>
        <w:numPr>
          <w:ilvl w:val="0"/>
          <w:numId w:val="1004"/>
        </w:numPr>
        <w:pStyle w:val="Compact"/>
      </w:pPr>
      <w:r>
        <w:t xml:space="preserve">A first article in the</w:t>
      </w:r>
      <w:r>
        <w:t xml:space="preserve"> </w:t>
      </w:r>
      <w:r>
        <w:rPr>
          <w:bCs/>
          <w:b/>
        </w:rPr>
        <w:t xml:space="preserve">Ukrainian journal</w:t>
      </w:r>
      <w:r>
        <w:t xml:space="preserve"> </w:t>
      </w:r>
      <w:r>
        <w:t xml:space="preserve">(</w:t>
      </w:r>
      <w:r>
        <w:rPr>
          <w:iCs/>
          <w:i/>
        </w:rPr>
        <w:t xml:space="preserve">Archive of Ophthalmology and Maxillofacial Surgery of Ukraine</w:t>
      </w:r>
      <w:r>
        <w:t xml:space="preserve">), possibly written in</w:t>
      </w:r>
      <w:r>
        <w:t xml:space="preserve"> </w:t>
      </w:r>
      <w:r>
        <w:rPr>
          <w:bCs/>
          <w:b/>
        </w:rPr>
        <w:t xml:space="preserve">Ukrainian</w:t>
      </w:r>
      <w:r>
        <w:t xml:space="preserve">, with</w:t>
      </w:r>
      <w:r>
        <w:t xml:space="preserve"> </w:t>
      </w:r>
      <w:r>
        <w:rPr>
          <w:bCs/>
          <w:b/>
        </w:rPr>
        <w:t xml:space="preserve">Sofia as first author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A second article in a</w:t>
      </w:r>
      <w:r>
        <w:t xml:space="preserve"> </w:t>
      </w:r>
      <w:r>
        <w:rPr>
          <w:bCs/>
          <w:b/>
        </w:rPr>
        <w:t xml:space="preserve">French journal</w:t>
      </w:r>
      <w:r>
        <w:t xml:space="preserve">, with</w:t>
      </w:r>
      <w:r>
        <w:t xml:space="preserve"> </w:t>
      </w:r>
      <w:r>
        <w:rPr>
          <w:bCs/>
          <w:b/>
        </w:rPr>
        <w:t xml:space="preserve">Elliot Pattou as first author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The allocation of first authorship between Sofia and Elliot will be confirmed later (either arrangement is possible).</w:t>
      </w:r>
    </w:p>
    <w:p>
      <w:pPr>
        <w:numPr>
          <w:ilvl w:val="0"/>
          <w:numId w:val="1004"/>
        </w:numPr>
        <w:pStyle w:val="Compact"/>
      </w:pPr>
      <w:r>
        <w:t xml:space="preserve">Both papers are conceived as a</w:t>
      </w:r>
      <w:r>
        <w:t xml:space="preserve"> </w:t>
      </w:r>
      <w:r>
        <w:rPr>
          <w:bCs/>
          <w:b/>
        </w:rPr>
        <w:t xml:space="preserve">follow-up</w:t>
      </w:r>
      <w:r>
        <w:t xml:space="preserve"> </w:t>
      </w:r>
      <w:r>
        <w:t xml:space="preserve">to the first Ukrainian monobloc article.</w:t>
      </w:r>
    </w:p>
    <w:p>
      <w:pPr>
        <w:pStyle w:val="FirstParagraph"/>
      </w:pPr>
      <w:r>
        <w:rPr>
          <w:bCs/>
          <w:b/>
        </w:rPr>
        <w:t xml:space="preserve">Deliverable.</w:t>
      </w:r>
      <w:r>
        <w:t xml:space="preserve"> </w:t>
      </w:r>
      <w:r>
        <w:t xml:space="preserve">A structured mission dataset and the resulting co-authored manuscripts.</w:t>
      </w:r>
    </w:p>
    <w:p>
      <w:r>
        <w:pict>
          <v:rect style="width:0;height:1.5pt" o:hralign="center" o:hrstd="t" o:hr="t"/>
        </w:pict>
      </w:r>
    </w:p>
    <w:bookmarkEnd w:id="22"/>
    <w:bookmarkStart w:id="23" w:name="X15347cca750b6d3d0e699aeb61b68ee68546455"/>
    <w:p>
      <w:pPr>
        <w:pStyle w:val="Heading2"/>
      </w:pPr>
      <w:r>
        <w:t xml:space="preserve">Project 3 — Later: involvement in a laboratory project</w:t>
      </w:r>
    </w:p>
    <w:p>
      <w:pPr>
        <w:pStyle w:val="FirstParagraph"/>
      </w:pPr>
      <w:r>
        <w:t xml:space="preserve">Once Projects 1 and 2 are well advanced, Sofia may be involved in a research project within the</w:t>
      </w:r>
      <w: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Craniofacial Growth and Form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laboratory</w:t>
      </w:r>
      <w:r>
        <w:t xml:space="preserve"> </w:t>
      </w:r>
      <w:r>
        <w:t xml:space="preserve">(Imagine Institute, Paris). The scope will be defined at that stage.</w:t>
      </w:r>
    </w:p>
    <w:p>
      <w:r>
        <w:pict>
          <v:rect style="width:0;height:1.5pt" o:hralign="center" o:hrstd="t" o:hr="t"/>
        </w:pict>
      </w:r>
    </w:p>
    <w:bookmarkEnd w:id="23"/>
    <w:bookmarkStart w:id="24" w:name="cross-cutting-practical-points"/>
    <w:p>
      <w:pPr>
        <w:pStyle w:val="Heading2"/>
      </w:pPr>
      <w:r>
        <w:t xml:space="preserve">Cross-cutting practical points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Ethics &amp; data protection.</w:t>
      </w:r>
      <w:r>
        <w:t xml:space="preserve"> </w:t>
      </w:r>
      <w:r>
        <w:t xml:space="preserve">Only the strictly necessary identifying data are collected (first name, date of birth, brief diagnosis). Data are</w:t>
      </w:r>
      <w:r>
        <w:t xml:space="preserve"> </w:t>
      </w:r>
      <w:r>
        <w:rPr>
          <w:bCs/>
          <w:b/>
        </w:rPr>
        <w:t xml:space="preserve">pseudonymised at source</w:t>
      </w:r>
      <w:r>
        <w:t xml:space="preserve"> </w:t>
      </w:r>
      <w:r>
        <w:t xml:space="preserve">and stored on the</w:t>
      </w:r>
      <w:r>
        <w:t xml:space="preserve"> </w:t>
      </w:r>
      <w:r>
        <w:rPr>
          <w:bCs/>
          <w:b/>
        </w:rPr>
        <w:t xml:space="preserve">dedicated Google Drive folders</w:t>
      </w:r>
      <w:r>
        <w:t xml:space="preserve">; local regulatory requirements and the laboratory’s data-protection charter are respected. Appropriate</w:t>
      </w:r>
      <w:r>
        <w:t xml:space="preserve"> </w:t>
      </w:r>
      <w:r>
        <w:rPr>
          <w:bCs/>
          <w:b/>
        </w:rPr>
        <w:t xml:space="preserve">consent</w:t>
      </w:r>
      <w:r>
        <w:t xml:space="preserve"> </w:t>
      </w:r>
      <w:r>
        <w:t xml:space="preserve">is obtained for photographs and portraits (parental consent for children).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Drive organisation.</w:t>
      </w:r>
      <w:r>
        <w:t xml:space="preserve"> </w:t>
      </w:r>
      <w:r>
        <w:t xml:space="preserve">One dedicated folder per project,</w:t>
      </w:r>
      <w:r>
        <w:t xml:space="preserve"> </w:t>
      </w:r>
      <w:r>
        <w:rPr>
          <w:bCs/>
          <w:b/>
        </w:rPr>
        <w:t xml:space="preserve">one subfolder per child/patient</w:t>
      </w:r>
      <w:r>
        <w:t xml:space="preserve">, consistent file naming, complete metadata.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Timeline.</w:t>
      </w:r>
      <w:r>
        <w:t xml:space="preserve"> </w:t>
      </w:r>
      <w:r>
        <w:t xml:space="preserve">Project 1 acquisitions take ≈ 1 hour each; start with 10 + 10 and scale toward 20 + 20. Project 2 can proceed in parallel as data are retrieved.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Reporting.</w:t>
      </w:r>
      <w:r>
        <w:t xml:space="preserve"> </w:t>
      </w:r>
      <w:r>
        <w:t xml:space="preserve">Regular progress updates to Tatiana Pavlychuk and Prof. R. H. Khonsari.</w:t>
      </w:r>
    </w:p>
    <w:p>
      <w:pPr>
        <w:pStyle w:val="FirstParagraph"/>
      </w:pPr>
      <w:r>
        <w:rPr>
          <w:iCs/>
          <w:i/>
        </w:rPr>
        <w:t xml:space="preserve">[Names/affiliations to confirm: Sofia’s and Tatiana’s full names and titles.]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2026-08-31T11:38:21Z</dcterms:created>
  <dcterms:modified xsi:type="dcterms:W3CDTF">2026-08-31T11:38:21Z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